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129 vom 11. Dezember 2017</w:t>
      </w:r>
    </w:p>
    <w:p>
      <w:r>
        <w:t>VD Tribunal cantonal, 2017-12-11, FR</w:t>
      </w:r>
    </w:p>
    <w:p>
      <w:r>
        <w:rPr>
          <w:b/>
        </w:rPr>
        <w:t xml:space="preserve">Quelle: </w:t>
      </w:r>
      <w:r>
        <w:t>https://mcp.opencaselaw.ch/entscheid/vd_findinfo_Jug___2018___129</w:t>
      </w:r>
    </w:p>
    <w:p>
      <w:r>
        <w:t>FR: VD_FINDINFO Jug / 2018 / 129 du 11 décembre 2017</w:t>
      </w:r>
    </w:p>
    <w:p>
      <w:r>
        <w:t>IT: VD_FINDINFO Jug / 2018 / 129 del 11 dicembre 2017</w:t>
      </w:r>
    </w:p>
    <w:p>
      <w:pPr>
        <w:pStyle w:val="Heading2"/>
      </w:pPr>
      <w:r>
        <w:t>Regeste</w:t>
      </w:r>
    </w:p>
    <w:p>
      <w:r>
        <w:t>TENTATIVE{DROIT PÉNAL}, MEURTRE, RESPONSABILITÉ RESTREINTE{DROIT PÉNAL} | 22 ad 111 CP, 47 CP</w:t>
      </w:r>
    </w:p>
    <w:p>
      <w:pPr>
        <w:pStyle w:val="Heading2"/>
      </w:pPr>
      <w:r>
        <w:t>Erwägungen</w:t>
      </w:r>
    </w:p>
    <w:p>
      <w:r>
        <w:rPr>
          <w:b/>
        </w:rPr>
        <w:t>E. 1</w:t>
      </w:r>
    </w:p>
    <w:p>
      <w:r>
        <w:t>Interjeté dans les formes et délais légaux (art. 399 CPP) par une partie ayant la qualité pour recourir (art. 382 CPP) contre le jugement d’un tribunal de première instance qui a clos la procédure (art. 398 al. 1 CPP), l’appel de T.________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Niggli/ Heer/Wiprächtiger [éd.],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3.1</w:t>
      </w:r>
    </w:p>
    <w:p>
      <w:r>
        <w:t>L'appelant ne conteste que la peine. Il reproche en premier lieu au jugement de ne pas indiquer de quelle façon les éléments évoqués dans l'appréciation de la peine ont réellement été pris en considération. Son droit d'être entendu requérait que l'on soit plus précis sur leur portée. L'appelant estime ensuite que la peine est « de toute évidence disproportionnée ». Elle n'intégrerait pas réellement les éléments à décharge, soit une enfance difficile, une diminution légère de responsabilité, une certaine collaboration, des regrets, et l'acceptation des conclusions civiles. Un poids exorbitant aurait été donné aux antécédents de l'appelant, « alors que la peine subie lors de sa précédente condamnation était déjà d'une certaine ampleur ». L'appelant fait encore valoir que la peine se distinguerait « anormalement de ce qui est fixé dans le cadre d'une tentative de meurtre ». Il invoque un cas où l'auteur a été condamné à 4 ans pour avoir assené trois coups de couteau à un agent de sécurité, sans mettre en danger la vie de sa victime (TF 6B_292/2017 du 14 novembre 2017). Il invoque aussi le cas d'un auteur qui a provoqué la mort de son bébé en le secouant et n'a été condamné qu'à 4 mois avec sursis (TF 6S.370/2006 du 26 septembre 2006). Dans un autre cas, un père n'avait été condamné qu'à 8 mois avec sursis pour lésions corporelles simples et exposition (TF 6S.287/2005 du 12 octobre 2005). L'appelant estime que la circonstance atténuante du repentir actif a été insuffisamment prise en compte. Il souligne le fait que le tribunal a prononcé une peine proche de celle requise par le Ministère public qui n'avait pourtant pas retenu cette circonstance. Il fait valoir qu'il a été « capable de se ressaisir » et que c'est grâce à son déplacement immédiat au CHUV et à « son insistance pour la prise en charge » que l'enfant a pu être sauvée. Il invoque une fois de plus un autre cas, celui d'un auteur qui étrangle sa compagne avant de « seulement » la mettre en position latérale, condamné à</w:t>
      </w:r>
    </w:p>
    <w:p>
      <w:r>
        <w:rPr>
          <w:b/>
        </w:rPr>
        <w:t>E. 3.2.1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 ATF 134 IV 17 consid. 2.1).</w:t>
      </w:r>
    </w:p>
    <w:p>
      <w:r>
        <w:rPr>
          <w:b/>
        </w:rPr>
        <w:t>E. 3.2.2</w:t>
      </w:r>
    </w:p>
    <w:p>
      <w:r>
        <w:t>Les principes qui président à la fixation de la peine en cas de diminution de la responsabilité (art. 19 al. 2 CP) ont été arrêtés dans l'arrêt publié aux ATF 136 IV 55: une diminution de la responsabilité au sens de cette disposition conduit à une diminution de la faute et non de la peine. La réduction de celle-ci n'est que la conséquence de la faute plus légère (consid. 5.5). Le juge dispose d'un large pouvoir d'appréciation lorsqu'il détermine l'effet de la diminution de la responsabilité sur la faute (subjective) au vu de l'ensemble des circonstances. Il peut appliquer l'échelle habituelle: une faute (objective) très grave peut être réduite à une faute grave en raison d'une diminution légère de la responsabilité. La réduction pour une telle faute (objective) très grave peut conduire à retenir une faute moyenne à grave en cas d'une diminution moyenne et à une faute légère à moyenne en cas de diminution grave. Sur la base de cette appréciation, le juge doit prononcer la peine en tenant compte des autres critères de fixation de la peine. Un tel procédé permet de tenir compte de la diminution de la responsabilité sans lui attribuer une portée trop importante. Le Tribunal fédéral a en effet jugé que la réduction purement mathématique d'une peine hypothétique, comme le permettait l'ancienne jurisprudence, était contraire au système, restreignait de manière inadmissible le pouvoir d'appréciation du juge et conduisait à accorder un poids trop important à la diminution de la capacité cognitive ou volitive telle qu'elle a été constatée par l'expert (consid. 5.6). En bref, le juge doit procéder comme suit en cas de diminution de la responsabilité pénale: dans un premier temps, il doit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au regard de l'art. 50 CP,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ainsi qu'en raison d'une éventuelle tentative selon l'art. 22 al. 1 CP (consid. 5.7) (TF 6B_975/2015 du 7 avril 2016 ; TF 6B_292/2017 du 14 novembre 2017 ; ATF 136 IV 55).</w:t>
      </w:r>
    </w:p>
    <w:p>
      <w:r>
        <w:rPr>
          <w:b/>
        </w:rPr>
        <w:t>E. 3.2.3</w:t>
      </w:r>
    </w:p>
    <w:p>
      <w:r>
        <w:t>Dans sa décision, le juge doit exposer les éléments essentiels - relatifs à l'acte et à l'auteur - qu'il prend en compte (art. 50 CP). Ainsi, le condamné doit connaître les aspects pertinents qui ont été pris en considération et comment ils ont été appréciés. Le juge peut passer sous silence les éléments qui, sans abus du pouvoir d'appréciation, lui paraissent non pertinents ou d'une importance mineure. La motivation doit justifier la peine prononcée en permettant de suivre le raisonnement adopté (ATF 141 IV 244 consid. 1.2.2 ; ATF 134 IV 17 consid. 2.1). Cependant, le juge n'est pas tenu d'exprimer en chiffres ou en pourcentage l'importance qu'il accorde à chacun des éléments qu'il cite (ATF 136 IV 55 consid. 5.6). Un recours ne saurait être admis simplement pour améliorer ou compléter un considérant lorsque la décision rendue apparaît conforme au droit (ATF 127 IV 101 consid. 2c ; TF 6B_111/2015 consid. 2.2).</w:t>
      </w:r>
    </w:p>
    <w:p>
      <w:r>
        <w:rPr>
          <w:b/>
        </w:rPr>
        <w:t>E. 3.2.4</w:t>
      </w:r>
    </w:p>
    <w:p>
      <w:r>
        <w:t>Le meurtre est passible d'une peine privative de liberté de cinq ans au moins (art. 111 CP) ; la peine peut aller jusqu'à 20 ans (art. 40 CP). L'atténuation de la peine due au repentir actif (art. 23 CP) a pour effet que le juge n'est pas lié par le minimum légal de la peine (art. 48 a CP). Cette atténuation est facultative (ATF 137 IV 113 consid. 1.4.2). Lorsqu'elle est admise, sa mesure dépend en outre de la proximité du résultat ainsi que des conséquences effectives des actes commis. En d'autres termes, la réduction devra être d'autant plus faible que le résultat était proche et ses conséquences graves. Cette réduction peut de plus être compensée par une augmentation de la peine s'il existe des circonstances aggravantes, celles-ci pouvant de la sorte neutraliser les effets de circonstances atténuantes (ATF 127 IV 101 consid. 2b). Le juge n'a pas à déterminer une peine hypothétique relative à une infraction consommée puis indiquer dans quelle mesure elle était réduite pour tenir compte de la tentative (TF 6B_445/2016 consid. 6.3.2 du 5 juillet 2017).</w:t>
      </w:r>
    </w:p>
    <w:p>
      <w:r>
        <w:rPr>
          <w:b/>
        </w:rPr>
        <w:t>E. 3.2.5</w:t>
      </w:r>
    </w:p>
    <w:p>
      <w:r>
        <w:t>Toute comparaison avec d'autres affaires est délicate vu les nombreux paramètres entrant en ligne de compte pour la fixation de la peine. Il ne suffit d'ailleurs pas que le recourant puisse citer un ou deux cas où une peine particulièrement clémente a été fixée pour prétendre à un droit à l'égalité de traitement. Les disparités en cette matière s'expliquent normalement par le principe de l'individualisation des peines, voulu par le législateur; elles ne suffisent pas en elles-mêmes pour conclure à un abus du pouvoir d'appréciation (ATF 141 IV 61 consid. 6.3.2 ; ATF 135 IV 191 consid. 3.1).</w:t>
      </w:r>
    </w:p>
    <w:p>
      <w:r>
        <w:rPr>
          <w:b/>
        </w:rPr>
        <w:t>E. 3.3</w:t>
      </w:r>
    </w:p>
    <w:p>
      <w:r>
        <w:t>Le prévenu s'en est pris à un bébé d'un mois, soit à un être non seulement sans défense, mais dépendant des soins de ses parents. Il s'agissait de son propre enfant, à l'égard duquel il avait une responsabilité personnelle de soin. Il s'est montré extrêmement violent ; il ne faut pas perdre de vue que pour le bébé, être secoué ainsi est, dans son effet de traumatisme crânien, l'équivalent, pour un adulte, de celui causé par un grave accident de voiture, une chute dans un escalier, etc. Le prévenu a donné libre cours à sa violence pour un motif futile : la difficulté à supporter les pleurs de l'enfant, pleurs qui, il faut s'en souvenir, représentent déjà la seule forme d'appel au secours que peut exprimer le nourrisson. B.J.________ a été grièvement blessée, a dû subir une craniotomie (à l'âge d'un mois !), et a ainsi souffert terriblement. Le prévenu, père pour la quatrième fois, avait déjà causé de la même manière la mort de, non pas un, mais deux de ses enfants. Il avait été condamné à 15 ans de prison pour cela. Durant le procès, et durant les nombreuses années où, concrètement, il est resté en prison, il a eu tout le loisir de réfléchir à ses actes ; manifestement, ces événements ne lui ont rien appris. Si on peut comprendre le besoin d'exprimer sa frustration – tout parent a connu ça –, le prévenu aurait dû, vu son passé, avoir le réflexe, sans avoir à réfléchir, ce que son impulsivité lui rendait impossible, de diriger son énergie sur un objet de substitution : taper dans un mur, casser un objet, hurler, etc. Sa culpabilité est donc a priori écrasante et justifierait une peine de l’ordre de 12 ans si l’enfant était décédée. A part les antécédents, dont il a été tenu compte plus tôt, le Tribunal criminel a indiqué retenir, à charge, un concours d'infractions. Cela n’apparaît pas fondé, dans la mesure où la tentative de meurtre a été sanctionnée d'une peine privative de liberté et l'empêchement d'accomplir un acte officiel d'une peine pécuniaire. Théoriquement, la tentative de meurtre pourrait être sanctionnée de jours-amende aussi (art. 23 al. 1 et 48a al. 2 CP), mais ce genre de peine n'ayant pas été choisi, l'application de l'art. 49 al. 1 CP ne se justifie plus. En raison d'une diminution légère de responsabilité, la faute du prévenu doit être jugée un peu moins écrasante. En effet, sa pathologie l’empêche d’apprendre de ses erreurs passées. Sa faute en reste néanmoins très lourde . Cette diminution de responsabilité justifiait de réduire la peine à 9 ans. La circonstance à décharge la plus sérieuse est celle résultant de la tentative, ici sous forme de repentir actif : le prévenu, comme il le relève dans son appel, a eu un sursaut de parentalité en amenant l'enfant à l'hôpital : ce geste ne l'a pas sauvé, mais a permis aux médecins de le sauver ; sauver sa vie, pas sa santé, qui a été atteinte, le développement futur restant encore incertain. Cela justifie de réduire la quotité de la peine à quelque 7 ans. Les autres circonstances à décharge liées à l'auteur, mentionnées par l'appelant, ont un impact très modéré. L'enfance difficile est liée au diagnostic psychiatrique. Les regrets exprimés, l'adhésion aux conclusions civiles, ont paru aux premiers juges motivés par la crainte de la sanction. Ces positions procédurales sont habituelles et préparées par les avocats. Il était difficile au prévenu de faire autrement. Le fait qu’il ait reconnu partiellement les faits ne saurait être qualifié de « collaboration » à l'enquête et ne constituera ni un élément à charge – le prévenu ayant le droit de nier – ni un élément à décharge, le prévenu n'ayant aucun mérite à reconnaître partiellement l'évidence. Enfin, on ne voit pas pourquoi le fait que le prévenu ait déjà été condamné à 15 ans de prison pour avoir causé la mort de deux enfants justifierait qu'on se montre clément dans la présente cause. Rien ne nous permet de dire que cette peine était excessive et de toute façon, serait-ce le cas, cela ne constituerait pas un motif pour prononcer aujourd'hui une peine excessivement légère. En outre, l’appelant soutient qu’il faudrait tenir compte du fait qu’il a agi sous le coup de la panique et non de la frustration, ce qui devrait avoir une incidence sur la quotité de la peine. Il fait également valoir que sa responsabilité devrait être réduite du fait de son importante consommation d’alcool au moment des faits litigieux. L’appelant ne saurait toutefois revenir sur des circonstances de fait non retenues par les premiers juges, alors qu’il ne conteste que la peine. Quant à sa prétendue consommation d’alcool, non seulement les médecins n’ont rien constaté lorsque le prévenu a amené B.J.________ à l’hôpital, mais l’intéressé a lui-même indiqué, lors de sa première audition, n’avoir consommé qu’une seule bière (cf. PV aud. 2, p. 3). En revanche, il faut encore tenir compte du fait que le prévenu n’avait pas le souhait de tuer sa fille et qu’il éprouve, à sa manière, des sentiments réels pour l’enfant, reconnus par la mère. En définitive, la peine privative de liberté doit être arrêtée à 6 ans et le jugement attaqué modifié dans ce sens. Les exemples cités par l'appelant sont trop différents pour servir de référence. Dans l'arrêt 6B_292/2017 du 14 novembre 2017, l'auteur s'en est pris à un agent de sécurité, pas à son bébé ; il avait une diminution moyenne de responsabilité. La victime a été blessée mais sa vie n'a pas été concrètement mise en danger comme l'a été celle de B.J.________. Dans l'arrêt 6S.370/2006 du 26 septembre 2006, l'auteur n'a été condamné que pour homicide par négligence et il a bénéficié de l'application de l'art. 66bis aCP, correspondant à l'actuel art. 54 CP. De même, dans l'arrêt 6S.287/2005 du 12 octobre 2005, l'auteur n'a été condamné que pour lésions corporelles simples et exposition ; il avait secoué l'enfant en le tenant par les chevilles parce qu'il était en train de s'étouffer ; il avait aussi une diminution de responsabilité dont l'ampleur n'était pas précisée. En effet, ces deux arrêts ne portent pas sur la fixation de la peine, mais sur la réalisation de certaines infractions. On ignore dès lors sur la base de quels éléments les peines ont été fixées. Enfin, dans le cas 6B_890/2015 du 16 décembre 2015, concernant un auteur qui étrangle sa compagne jusqu'à ce qu'elle perde connaissance, la cour a retenu une peine hypothétique de base de 12 ans, réduite à 10 ans en raison d'une diminution légère de responsabilité, puis à 6,5 ans en raison de la tentative sous forme de repentir actif, puis à 5,5 ans en raison d'éléments favorables liés à l'auteur – dont l'absence d'antécédents –, puis à 5 ans en raison de la durée de la procédure. On est ainsi dans des chiffres proches de la présente cause, qui présente néanmoins une gravité plus grande dans la mesure notamment où le prévenu s'en est pris à son bébé et avait de lourds antécédents en la matière. 4. La détention subie par l’appelant depuis le jugement de première instance doit être déduite (art. 51 CP). Le maintien en détention pour des motifs de sûreté du prévenu sera ordonné pour garantir l'exécution de la peine, vu le risque de fuite qu’il présente, risque concrétisé par une tentative d’évasion lors d’un transfert en octobre 2016 (art. 221 al. 1 let. a CPP).</w:t>
      </w:r>
    </w:p>
    <w:p>
      <w:r>
        <w:rPr>
          <w:b/>
        </w:rPr>
        <w:t>E. 5</w:t>
      </w:r>
    </w:p>
    <w:p>
      <w:r>
        <w:t>En définitive, l’appel doit être partiellement admis et le jugement attaqué modifié dans le sens des considérants. Selon la liste des opérations produite, Me Yaël Hayat, défenseur d’office de l’appelant, réclame une indemnité correspondant à 16 heures 15 d’activités d’avocat breveté à 180 fr., 5 heures d’activités d’avocat-stagiaire, plus 2 heures 15 d’audience, plus 2 heures de déplacement, plus la TVA. Si l’on peut admettre le temps consacré par l’avocat-stagiaire à la rédaction de l’appel, en revanche, le temps consacré par l’avocat breveté au suivi du dossier, à l’étude du dossier et à la préparation de l’audience, soit 12 heures au total, est excessive, dès lors que seule la quotité de la peine est contestée. Il convient de retenir une durée de 6 heures d’activité d’avocat breveté, à laquelle s’ajoutent encore la durée de l’audience d’appel, soit 1 heures 45, ainsi que la durée du déplacement à l’audience, soit 2 heures. L’indemnité allouée au défenseur d’office de T.________ pour la procédure d’appel doit dès lors être arrêtée à 2'482 fr. 50, TVA et débours inclus. Vu l’issue de la cause, les frais d’appel, comprenant l’émolument du présent jugement, par 3'010 fr. (art. 21 al. 1 et 3 TFIP [Tarif des frais de procédure et indemnités en matière pénale du 28 septembre 2010 ; RSV 312.03.1]), ainsi que l’indemnité allouée à son défenseur d’office (art. 422 al. 1 et 2 let. a CPP), seront mis par moitié à la charge de T.________, qui réclamait une peine de 3 ans et obtient ainsi partiellement gain de cause (art. 428 al. 1 CPP), le solde étant laissé à la charge de l’Etat. T.________ ne sera tenu de rembourser à l’Etat la moitié de l’indemnité allouée à son défenseur d’office que lorsque sa situation financière le permettra. La Cour d’appel pénale, appliquant les art. 12, 23, 34, 40, 47, 48a, 50, 51, 63, 111 ad 22 al. 1, 286 CP et 398 ss CPP, prononce : I. L’appel est partiellement admis. II. Le jugement rendu le 11 décembre 2017 par le Tribunal criminel de l’arrondissement de Lausanne est modifié comme il suit au chiffre II de son dispositif, le dispositif du jugement étant désormais le suivant : " I. constate que T.________ s’est rendu coupable de tentative de meurtre et d’empêchement d'accomplir un acte officiel; II. condamne T.________ à une peine privative de liberté de</w:t>
      </w:r>
    </w:p>
    <w:p>
      <w:r>
        <w:rPr>
          <w:b/>
        </w:rPr>
        <w:t>E. 6</w:t>
      </w:r>
    </w:p>
    <w:p>
      <w:r>
        <w:t>(six) ans, sous déduction de 451 (quatre cent cinquante et un) jours de détention avant jugement, dont 356 (trois cent cinquante-six) jours de détention provisoire et 95 (nonante-cinq) jours de détention pour des motifs de sûreté; III. condamne T.________ à une peine pécuniaire de 10 (dix) jours-amende, le montant du jour-amende étant fixé à 20 fr. (vingt francs); IV. constate que T.________ a subi 3 (trois) jours de détention dans des conditions de détention provisoire illicites et ordonne que 2 (deux) jours de détention soient déduits de la peine fixée au chiffre II ci-dessus, à titre de réparation du tort moral; V. ordonne en faveur de T.________ un traitement ambulatoire ciblé sur la gestion de son impulsivité et de ses frustrations, par le Service de médecine et psychiatrie pénitentiaire, pendant la durée de la détention; VI. ordonne le maintien en détention de T.________ pour des motifs de sûreté; VII. dit que T.________ est le débiteur de B.J.________ et lui doit immédiat paiement des sommes de 331 fr. 20 avec intérêts à 5% l’an dès le 31 décembre 2016 et 350 fr. avec intérêts à 5% l’an dès le 30 juin 2017, à titre de réparation du dommage matériel, ainsi que 30'000 fr. avec intérêts à 5% l’an dès le 14 septembre 2016, à titre de réparation du tort moral; VIII. dit que T.________ est le débiteur de T.J.________ de la somme de 15'000 fr. avec intérêts à 5% l’an dès le 14 septembre 2016, à titre de réparation du tort moral; IX. renvoie B.J.________ et T.J.________ à agir par la voie civile pour le surplus; X. dit que le DVD séquestré sous fiche n° 798 est laissé au dossier à titre de pièce à conviction; XI. arrête l’indemnité allouée à Me Yaël Hayat, défenseur d’office de T.________, à 27'896 fr. 40; XII. arrête l’indemnité allouée à Me Aurélien Michel, conseil d’office de T.J.________, à 6'369 fr.40; XIII. arrête l’indemnité allouée à Me Cyrielle Kern, conseil d’office de B.J.________, à 11'319 fr. 50; XIV. dit que lorsque sa situation financière le permettra, T.________ sera tenu de rembourser à l’Etat le montant des indemnités allouées aux chiffres XI, XII et XIII ci-dessus, ainsi que les indemnités allouées, le 1 er mars 2017, à Me Laurent Gilliard, précédent défenseur d’office de T.________, par 5'183 fr. 35, et, le 22 septembre 2017, à Me Charlotte Iselin, précédente conseil d’office de T.J.________, par 7'308 fr. 75; XV. met les frais de justice, par 91'240 fr. 95, à la charge de T.________." III. La détention subie depuis le jugement de première instance est déduite. IV. Le maintien en détention de T.________ à titre de sûreté est ordonné. V. Une indemnité de défenseur d'office pour la procédure d'appel d'un montant de 2'482 fr. 50 , TVA et débours inclus, est allouée à Me Yaël Hayat. VI. Les frais d'appel, y compris l'indemnité allouée au défenseur d'office au chiffre V ci-dessus, sont mis par moitié à la charge de T.________, le solde étant laissé à la charge de l’Etat. VII. T.________ ne sera tenu de rembourser à l’Etat la moitié du montant de l’indemnité en faveur de son défenseur d’office prévue au chiffre V. ci-dessus que lorsque sa situation financière le permettra . La présidente :              La greffière : Du Le jugement qui précède, dont le dispositif a été communiqué par écrit aux intéressés le 23 avril 2018 , est notifié, par l'envoi d'une copie complète, à : - Me Yaël Hayat, avocate (pour T.________), - Ministère public central, et communiqué à : - Me Aurélien Michel, avocat (pour T.J.________), - Me Cyrielle Kern, avocate (pour B.J.________), - M. le Président du Tribunal criminel de l'arrondissement de Lausanne, - M. le Procureur du Ministère public central, division affaires spéciales, - Office d'exécution des peines, - Prison de La Croisée,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