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101 vom 13. April 2018</w:t>
      </w:r>
    </w:p>
    <w:p>
      <w:r>
        <w:t>VD Tribunal cantonal, 2018-04-13, FR</w:t>
      </w:r>
    </w:p>
    <w:p>
      <w:r>
        <w:rPr>
          <w:b/>
        </w:rPr>
        <w:t xml:space="preserve">Quelle: </w:t>
      </w:r>
      <w:r>
        <w:t>https://mcp.opencaselaw.ch/entscheid/vd_findinfo_Jug___2018___101</w:t>
      </w:r>
    </w:p>
    <w:p>
      <w:r>
        <w:t>FR: VD_FINDINFO Jug / 2018 / 101 du 13 avril 2018</w:t>
      </w:r>
    </w:p>
    <w:p>
      <w:r>
        <w:t>IT: VD_FINDINFO Jug / 2018 / 101 del 13 aprile 2018</w:t>
      </w:r>
    </w:p>
    <w:p>
      <w:pPr>
        <w:pStyle w:val="Heading2"/>
      </w:pPr>
      <w:r>
        <w:t>Regeste</w:t>
      </w:r>
    </w:p>
    <w:p>
      <w:r>
        <w:t>PLACEMENT À DES FINS D'ASSISTANCE, MESURE PROVISIONNELLE, PROLONGATION | 426 CC, 429 CC, 445 al. 3 CC</w:t>
      </w:r>
    </w:p>
    <w:p>
      <w:pPr>
        <w:pStyle w:val="Heading2"/>
      </w:pPr>
      <w:r>
        <w:t>Erwägungen</w:t>
      </w:r>
    </w:p>
    <w:p>
      <w:r>
        <w:rPr>
          <w:b/>
        </w:rPr>
        <w:t>E. 1.1</w:t>
      </w:r>
    </w:p>
    <w:p>
      <w:r>
        <w:t>Le recours est dirigé contre une ordonnance de mesures provisionnelles de l’autorité de protection de l’adulte prolongeant notamment le placement provisoire à des fins d'assistance de la personne concernée, en application de l'art. 429 al. 2 CC.</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w:t>
      </w:r>
    </w:p>
    <w:p>
      <w:r>
        <w:rPr>
          <w:b/>
        </w:rPr>
        <w:t>E. 1.3</w:t>
      </w:r>
    </w:p>
    <w:p>
      <w:r>
        <w:t>Interjeté en temps utile par la personne concernée, le recours est recevable. L’autorité de protection n'a pas été interpellée au vu de ce qui suit.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 3 et 4 ad art. 492 CPC-VD, p. 763, point de vue qui demeure valable sous l’empire du nouveau droit). 2.2 Il découle de l’art. 447 al. 2 CC qu’en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de placement (art. 450e al. 4 1 ère phrase CC ; cf. ATF 139 III 257). En l’espèce, la justice de paix ainsi que la Chambre des curatelles, ont procédé à l’audition du recourant. Celui-ci ayant pu s’exprimer devant les deux instances désignées, son droit d’être entendu a été respecté. 3.</w:t>
      </w:r>
    </w:p>
    <w:p>
      <w:r>
        <w:rPr>
          <w:b/>
        </w:rPr>
        <w:t>E. 3</w:t>
      </w:r>
    </w:p>
    <w:p>
      <w:r>
        <w:t>et 450e al. 1 CC). Il suffit que le recourant manifeste par écrit son désaccord avec la mesure prise (Droit de la protection de l'enfant, Guide pratique COPMA 2017, n. 5.64, p. 177 ; Meier, Droit de la protection de l’adulte, 2016, n. 266, p. 138).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450a CC, p. 2626, et les auteurs cités). Conformément à l'art. 450d CC, la Chambre des curatelles donne à la justice de paix (art.</w:t>
      </w:r>
    </w:p>
    <w:p>
      <w:r>
        <w:rPr>
          <w:b/>
        </w:rPr>
        <w:t>E. 3.1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(TF 5A_717/2015 du 13 octobre 2015 consid. 4.1 et TF 5A_497/2014 du 8 juillet 2014 consid.</w:t>
      </w:r>
    </w:p>
    <w:p>
      <w:r>
        <w:rPr>
          <w:b/>
        </w:rPr>
        <w:t>E. 3.2</w:t>
      </w:r>
    </w:p>
    <w:p>
      <w:r>
        <w:t>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 3 CC).</w:t>
      </w:r>
    </w:p>
    <w:p>
      <w:r>
        <w:rPr>
          <w:b/>
        </w:rPr>
        <w:t>E. 4</w:t>
      </w:r>
    </w:p>
    <w:p>
      <w:r>
        <w:t>M.________ a séjourné de nombreuses fois en institution depuis l'âge de 15 ans. Il souffre de schizophrénie, d'un syndrome de dépendance aux opiacés et autres substances psychoactives nocives pour la santé. A son arrivée à la Fondation de [...], le 15 février 2018, le prénommé présentait une décompensation psychotique avec un discours délirant et une agitation psychomotrice importante. Dans son rapport du 21 mars 2018, la Dresse [...] a considéré qu'une hospitalisation de M.________ était nécessaire tant la symptomatologie de ce dernier était importante. Cette dernière a précisé qu'un passage à l'acte hétéro-agressif était probable si M.________ ne bénéficiait pas d'une prise en charge hospitalière et s'il ne prenait pas son traitement médicamenteux. Dans son courrier du 29 mars 2018, la Dresse U.________ a également préconisé une hospitalisation de M.________ afin de stabiliser son état. A l'audience de ce jour, M.________ a déclaré ne pas souffrir de schizophrénie. S'il a montré une ébauche de prise de conscience concernant sa médication, son discours – souvent contradictoire – semblait toutefois dicté par les circonstances. Il ressort des pièces au dossier, que durant plusieurs années, M.________ a fait de nombreux allers-retours entre la Fondation de [...] et son domicile ensuite d'épisodes importants de décompensation. Selon les déclarations des divers intervenants, un passage à l'acte hétéro-agressif est à craindre si la personne concernée n'est pas prise en charge en milieu institutionnel et si son traitement médicamenteux n'est pas assuré. Un placement volontaire est inenvisageable dès lors que M.________ souhaite tantôt quitter la fondation tantôt y rester mais à ses conditions. S'agissant d'éventuelles mesures ambulatoires, elles n'ont aucune chance de succès au vu de l'échec, avant même leur mise en œuvre, de celles ordonnées le 8 janvier 2018 par la justice de paix. Un placement à la Fondation de [...] est donc la seule solution appropriée pour satisfaire aux besoins d'assistance actuels du recourant et éviter un passage à l'acte hétéro-agressif. Enfin, l'expertise psychiatrique ordonnée dans la décision contestée permettra d'envisager plus précisément la suite de la prise en charge de M.________. C'est ainsi à bon droit que les premiers juges ont prolongé le placement provisoire à des fins d'assistance de M.________ et décidé de l'ouverture d'une enquête en placement à des fins d'assistance.</w:t>
      </w:r>
    </w:p>
    <w:p>
      <w:r>
        <w:rPr>
          <w:b/>
        </w:rPr>
        <w:t>E. 4.1</w:t>
      </w:r>
    </w:p>
    <w:p>
      <w:r>
        <w:t>avec la référence au Message du Conseil fédéral du 28 juin 2006 concernant la révision du Code civil suisse [Protection des personnes, droit des personnes, et droit de la filiation ; ci-après : Message], FF 2006, p. 6676 ad art. 390 CC). S’agissant de la déficience mentale, il faut comprendre les déficiences de l’intelligence, congénitales ou acquises, de degrés divers (Message, Feuille Fédérale  2006, p. 6677). Il y a grave état d’abandon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l’intéressé n’a pas conscience de sa maladie et de son besoin de placement (TF 5A_634/2016 du 21 septembre 2016, consid. 2.3 ; ATF 140 III 101 consid. 6.2.3 et les références) ou que son bien-être nécessite un traitement stationnaire, qui ne peut être couronné de succès que s’il est assuré sans interruption. Le cas échéant, aussi longtemps que les mesures de sécurité envisagées dans l’établissement n’étaient pas mises en œuvre et que le danger existait que l’intéressé interrompe la thérapie en s’enfuyant à nouveau, une institution fermée telle qu’un établissement pénitentiaire, pour autant que le traitement thérapeutique par des spécialistes soit également garanti, pouvait être considérée comme une institution appropriée, à titre transitoire, au placement à des fins d’assistance (TF 5A_652/2016 du 15 décembre 2016).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(Message FF 2006, pp. 6695-6696). La notion d'institution doit être interprétée de manière large (Geiser/Etzensberger, Basler Kommentar, op. cit., n. 35 ad art. 426 CC, p. 2435 ; Meier, op. cit., n. 1202, p. 583 ; Guide pratique COPMA, n. 10.10, p. 246) et englobe ainsi les établissements fermés, mais aussi toutes les institutions, ouvertes ou mixtes, qui limitent la liberté de mouvement des personnes concernées, de par les mesures d’encadrement et de surveillance prévues. L'institution est jugée appropriée si, par son organisation et le personnel dont elle dispose, elle permet de satisfaire les besoins essentiels de la personne placée, appropriée » ne signifiant pas « idéale » ou « optimale » (TF 5A_212/2014 du 1er avril 2014 consid. 2.3.1 et les références citées ; Meier, op. cit., n. 1203, p. 584 ; Geiser/Etzensberger, Basler Kommentar, op. cit., n. 37 ad art. 426 CC, p. 2436).</w:t>
      </w:r>
    </w:p>
    <w:p>
      <w:r>
        <w:rPr>
          <w:b/>
        </w:rPr>
        <w:t>E. 5</w:t>
      </w:r>
    </w:p>
    <w:p>
      <w:r>
        <w:t>En conclusion, le recours de M.________ doit être rejeté et l'ordonnance entreprise confirmée. Le présent arrêt peut être rendu sans frais judiciaires (art. 74a al. 4 TFJC [Tarif du 28 septembre 2010 des frais judiciaires civils ; RSV 270.11.5]). Par ces motifs, la Chambre des curatelles du Tribunal cantonal, statuant à huis clos, prononce : I. Le recours est rejeté. II. L'ordonnance est confirmée. III. L'arrêt, rendu sans frais judiciaires, est exécutoire. La vice-présidente : La greffière : Du L'arrêt qui précède, dont la rédaction a été approuvée à huis clos, est notifié à : - M.________, - N.________, et communiqué à : - Madame la Juge de paix du district de la Riviera – Pays-d'Enhaut, - Fondation de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