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81 vom 21. September 2016</w:t>
      </w:r>
    </w:p>
    <w:p>
      <w:r>
        <w:t>VD Tribunal cantonal, 2016-09-21, FR</w:t>
      </w:r>
    </w:p>
    <w:p>
      <w:r>
        <w:rPr>
          <w:b/>
        </w:rPr>
        <w:t xml:space="preserve">Quelle: </w:t>
      </w:r>
      <w:r>
        <w:t>https://mcp.opencaselaw.ch/entscheid/vd_findinfo_Jug___2017___81</w:t>
      </w:r>
    </w:p>
    <w:p>
      <w:r>
        <w:t>FR: VD_FINDINFO Jug / 2017 / 81 du 21 septembre 2016</w:t>
      </w:r>
    </w:p>
    <w:p>
      <w:r>
        <w:t>IT: VD_FINDINFO Jug / 2017 / 81 del 21 settembre 2016</w:t>
      </w:r>
    </w:p>
    <w:p>
      <w:pPr>
        <w:pStyle w:val="Heading2"/>
      </w:pPr>
      <w:r>
        <w:t>Regeste</w:t>
      </w:r>
    </w:p>
    <w:p>
      <w:r>
        <w:t>POSITION DE GARANT, POLLUTION, PURIN, LOI FÉDÉRALE SUR LA PROTECTION DES EAUX, LOI SUR LES ÉPIZOOTIES | 49 al. 2 CP, 6 DPA, 70 al. 1 let. a LEaux, 70 al. 2 LEaux, 73 LFE</w:t>
      </w:r>
    </w:p>
    <w:p>
      <w:pPr>
        <w:pStyle w:val="Heading2"/>
      </w:pPr>
      <w:r>
        <w:t>Erwägungen</w:t>
      </w:r>
    </w:p>
    <w:p>
      <w:r>
        <w:rPr>
          <w:b/>
        </w:rPr>
        <w:t>E. 1</w:t>
      </w:r>
    </w:p>
    <w:p>
      <w:r>
        <w:t>Interjetés dans les formes et délai légaux (art. 399 CPP) par des parties ayant la qualité pour recourir contre le jugement de première instance qui a clos la procédure (art. 398 al. 1 CPP), les appels sont recevables.</w:t>
      </w:r>
    </w:p>
    <w:p>
      <w:r>
        <w:rPr>
          <w:b/>
        </w:rPr>
        <w:t>E. 1.1</w:t>
      </w:r>
    </w:p>
    <w:p>
      <w:r>
        <w:t>X.________ fait valoir que la peine prononcée à son encontre est manifestement excessive. Il conclut à ce que la peine prononcée le 13 mars 2014 par le Ministère public de Lausanne et celle prononcée le 29 juin 2015 par le Tribunal de police de l’arrondissement de La Côte absorbent la punissabilité des présents faits et qu’aucune peine complémentaire ne soit prononcée en l’espèce.</w:t>
      </w:r>
    </w:p>
    <w:p>
      <w:r>
        <w:rPr>
          <w:b/>
        </w:rPr>
        <w:t>E. 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1.2.2</w:t>
      </w:r>
    </w:p>
    <w:p>
      <w:r>
        <w:t>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(CAPE 13 octobre 2016/412).</w:t>
      </w:r>
    </w:p>
    <w:p>
      <w:r>
        <w:rPr>
          <w:b/>
        </w:rPr>
        <w:t>E. 1.3</w:t>
      </w:r>
    </w:p>
    <w:p>
      <w:r>
        <w:t>En l’espèce, les infractions reprochées à X.________ ont été commises avant la condamnation prononcée le 13 avril 2014 par le Ministère public de l’arrondissement de Lausanne à 75 jours-amende et la condamnation prononcée le 5 septembre 2014 par le Tribunal d’arrondissement de La Côte à 80 jours-amende. C’est donc une peine complémentaire qui doit être prononcée. Contrairement à ce que soutient le prévenu, on ne saurait renoncer à le sanctionner pour le motif qu’il aurait été suffisamment puni lors de ces précédentes condamnations. En effet, les infractions qui sont actuellement reprochées au prévenu ne sont pas dénuées de gravité, notamment au regard de la destruction d’organismes vivants par la pollution massive d’un ruisseau et la transgression de normes élémentaires de sauvegarde des eaux. Par ailleurs, les violations de la LFE ont été commises alors même que le prévenu avait déjà été dénoncé une première fois par les autorités administratives et qu’il savait pertinemment que certaines pratiques étaient illicites. Partant, les 7 jours-amende prononcés en première instance, cumulés au deux précédentes peines, soit un total de 162 jours-amende, tiennent adéquatement compte de sa culpabilité nonobstant le fractionnement des condamnations et doivent être confirmés. 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I. Appel de X.________ 1.</w:t>
      </w:r>
    </w:p>
    <w:p>
      <w:r>
        <w:rPr>
          <w:b/>
        </w:rPr>
        <w:t>E. 2.1</w:t>
      </w:r>
    </w:p>
    <w:p>
      <w:r>
        <w:t>X.________ conteste la quotité du jour-amende pour le motif qu’au moment de sa fixation, il n’aurait pas été tenu compte d’une charge mensuelle de 3'200 fr. en relation avec l’entretien de ses enfants. Il estime ainsi que la quotité du jour-amende doit être abaissée à 500 francs.</w:t>
      </w:r>
    </w:p>
    <w:p>
      <w:r>
        <w:rPr>
          <w:b/>
        </w:rPr>
        <w:t>E. 2.1.1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 ne bis in idem », est garanti par l'art. 4 par. 1 du Protocole additionnel n° 7 à la Convention de sauvegarde des droits de l'homme et des libertés fondamentales, conclu à Strasbourg le 22 novembre 1984, et entré en vigueur pour la Suisse le 1er novembre 1988 (RS 0.101.07 ; ci-après : Protocole additionnel n° 7 à la CEDH ou Protocole n° 7), ainsi que par l'art. 14 par. 7 du Pacte international relatif aux droits civils et politiques, conclu à New York le 16 décembre 1966 et entré en vigueur pour la Suisse le 18 septembre 1992 (Pacte ONU Il ; RS 0.103.2). La règle « ne bis in idem » découle en outre implicitement de la Constitution fédérale (ATF 137 I 363 consid. 2.1 et les arrêts cités) et de l’art. 1 CP (Moreillon/Parein-Reymond, Petite commentaire du CPP, 2 ème éd., Bâle 2016, n°18 ad art. 1 CP). Enfin, sous la note marginale « Interdiction de la double poursuite », l’art. 11 al. 1 CPP prévoit également qu'aucune personne condamnée ou acquittée en Suisse par un jugement entré en force ne peut être poursuivie une nouvelle fois pour la même infraction.</w:t>
      </w:r>
    </w:p>
    <w:p>
      <w:r>
        <w:rPr>
          <w:b/>
        </w:rPr>
        <w:t>E. 2.1.2</w:t>
      </w:r>
    </w:p>
    <w:p>
      <w:r>
        <w:t>A la lecture du dossier, il ressort que le 17 octobre 2013 au lieu-dit «  [...]» sur la parcelle du prévenu, le Service de la consommation et des affaires vétérinaires a constaté plusieurs irrégularités, notamment l’omission de X.________ de faire figurer à la BDTA les équidés détenus dans l’exploitation. Cette violation a donné lieu à une condamnation du 29 juin 2015 par le Tribunal de police de l’arrondissement de La Côte, confirmée par jugement de la Cour d’appel pénale du Tribunal cantonal le 17 novembre 2015, puis par arrêt du Tribunal fédéral du 2 juin 2016. Ensuite, le 5 septembre 2014, soit environ 11 mois après cette perquisition, un nouveau contrôle a été effectué par le Service de la consommation et des affaires vétérinaires qui a à nouveau constaté que le cheptel équin n’était pas à jour et que les passeports des animaux n’étaient pas disponibles. Ainsi, peu importe qu’il s’agisse totalement ou partiellement des mêmes animaux, l’omission punissable ne s’est pas produite au même moment, si bien que le jugement de première instance s’est fondé sur de nouveaux faits constituant une nouvelle infraction à Loi sur les épizooties (LFE du 1er juillet 1966 ; RS 916.40).</w:t>
      </w:r>
    </w:p>
    <w:p>
      <w:r>
        <w:rPr>
          <w:b/>
        </w:rPr>
        <w:t>E. 2.2</w:t>
      </w:r>
    </w:p>
    <w:p>
      <w:r>
        <w:t>Selon l'art. 34 al. 2, 2e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p. 68; arrêt 6B_845/2009 du 11 janvier 2010 consid. 1.1.2, in SJ 2010 I p. 205). 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 p. 69; voir également arrêt 6B_83/2010 du 8 juillet 2010 consid. 5.1.3 in fine et 5.2).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(ATF142 IV 315 et les références citées).</w:t>
      </w:r>
    </w:p>
    <w:p>
      <w:r>
        <w:rPr>
          <w:b/>
        </w:rPr>
        <w:t>E. 2.2.1</w:t>
      </w:r>
    </w:p>
    <w:p>
      <w:r>
        <w:t>En vertu de l’art. 13 LFE, le trafic des animaux est soumis au contrôle de la police des épizooties (al. 1). Le détenteur d'animaux est tenu d'indiquer la provenance et la destination des animaux aux organes d'exécution de la législation sur les épizooties, les denrées alimentaires et l'agriculture (al. 2). Selon l’art. 14 al. 1 LFE, tout animal d'espèce bovine, ovine, caprine ou porcine doit être identifié et enregistré. Le détenteur doit tenir un registre des animaux des espèces bovine, ovine, caprine et porcine présents dans son exploitation. Ce registre indique toutes les variations d'effectif ainsi que les saillies et les inséminations artificielles (art. 14 al. 3 LFE). Le détenteur doit établir un document d'accompagnement pour les animaux des espèces bovine, ovine, caprine et porcine qui quittent l'exploitation. Ce document doit accompagner les animaux et être remis au nouveau détenteur. Lors du transport, sur les marchés ou lors des expositions, il doit être présenté sur demande aux organes d'exécution de la législation sur les épizooties, les denrées alimentaires et l'agriculture. A l'abattoir, il doit être remis au vétérinaire officiel (art. 15 al. 1 LFE). Par ailleurs selon l’art. 15a al. 2 LFE, les détenteurs d'animaux sont tenus d'annoncer au service désigné par le canton toutes les augmentations et diminutions d'effectif. En vertu de l’art. 14 al. 1 OFE (Ordonnance sur les épizooties du 27 juin 1995 ; RS 916.401), le détenteur d'animaux doit annoncer à l'autorité cantonale compétente dans un délai de trois jours ouvrables toute nouvelle unité d'élevage comprenant des animaux à onglons, tout changement de détenteur et toute fermeture définitive d'une unité d'élevage. Il communique à la banque de données sur le trafic des animaux dans un délai de trois jours ouvrables, les variations d'effectifs, la mort des animaux de l'espèce bovine et toute perte de marques auriculaires (art. 14 al. 2 let. a OFE)</w:t>
      </w:r>
    </w:p>
    <w:p>
      <w:r>
        <w:rPr>
          <w:b/>
        </w:rPr>
        <w:t>E. 2.2.2</w:t>
      </w:r>
    </w:p>
    <w:p>
      <w:r>
        <w:t>En l’espèce, l’argument de l’appelant s’appuie sur le fait que la personne qui lui a livré les bovins dont il est question ne lui aurait pas transmis les documents nécessaires et qu’aucune faute ne pourrait lui être imputée. Or, en réalité, l’art. 14 al. 2 let. a OFE impose d’annoncer les variations d’effectifs dans les trois jours. Ce fait ne dépend donc nullement de la remise de documents, mais bien de l’arrivée ou du départ de bovins dans l’exploitation. En omettant d’annoncer à temps l’augmentation de son effectif de bovins, X.________ s’est bel est bien rendu coupable d’infraction à la LFE. L’appel du prévenu doit donc être rejeté sur ce point. II. Appel du Ministère public central 1. Le Ministère public conteste l’acquittement de X.________ concernant les faits décrits au chiffre 1 de l’acte d’accusation (cf. C. 2.3). Il fait valoir que le prévenu a commis une faute en choisissant comme responsable de l’épandage du lisier R.________, qui n’avait aucune formation agricole, qui n’était pas à même de comprendre les règles applicables à l’épandage et qui n’avait pas été suffisamment instruit. Il soutient également que la première juge n’a pas pris en compte que la pollution constatée le 10 février 2014 ne serait pas exclusivement due à la vidange d’une fosse à purin sur la parcelle, mais également au lessivage des engrais de ferme par les eaux de surface. Le Parquet estime que X.________ savait pertinemment qu’il y avait une stagnation permanente de grandes quantités d’eau à cet endroit et qu’il doit ainsi être reconnu coupable d’infraction par négligence à la LEaux. 2. S’agissant des dispositions légales applicables en l’espèce, il sera renvoyé au considérant I./1.2 ci-dessus. 3. En l’espèce, la première juge a libéré X.________ pour les faits du cas n°1 pour le motif que les ouvriers qui avaient vidangé partiellement la fosse à purin dans le champ l’avaient fait spontanément, sans demander l’autorisation à R.________ (jgt. p. 16). Dans le rapport de dénonciation du 12 juin 2014, il est mentionné que la pollution serait notamment due au lessivage de purin et de fumier sur la parcelle, mais il n’est fait référence à aucune constatation. Or, X.________ a déclaré que la parcelle n’était jamais purinée (jgt p. 3). En examinant les photographies produites au dossier, il est manifeste que la taille de la marre d’eau stagnante sur la parcelle impliquait qu’elle n’était pas uniquement alimentée par le contenu de la fosse à purin, mais aussi par de l’eau de pluie ou de ruissellement. A ce stade, il existe donc un doute sérieux sur la présence de substances polluantes sur la surface de la parcelle et il n’est donc pas possible d’imputer à X.________ leur mélange à de l’eau de ruissellement, d’autant plus que le garde-pêche qui a procédé à la dénonciation et qui aurait pu amener des éléments à l’instruction n’a pas pu être entendu étant décédé avant l’audience d’appel. Partant, l’appel du Ministère public doit être rejeté sur ce point. III. Fixation de la peine 1.</w:t>
      </w:r>
    </w:p>
    <w:p>
      <w:r>
        <w:rPr>
          <w:b/>
        </w:rPr>
        <w:t>E. 2.3</w:t>
      </w:r>
    </w:p>
    <w:p>
      <w:r>
        <w:t>En l’espèce, l’appelant a produit une convention d’entretien datée du 10 janvier 1997 concernant sa fille U.________ devenue majeure en 2009 prévoyant une contribution de 1'000 fr. depuis les 14 ans de cette dernière jusqu’à sa majorité ou son indépendance financière (P. 22/2/1), ainsi que la copie d’un ordre mensuel permanent intitulé « pension d’U.________ », d’un montant de 1'000 fr. qu’il aurait créé le 25 novembre 2015 (P. 22/2/3). S’agissant de ses deux enfants cadets devenus majeurs en 2013 et qui habitent sous son toit, il a également produit une convention alimentaire, non signée et non ratifiée, prévoyant une contribution d’entretien à raison de 1'000 par mois. Au vu de ces éléments, il existe des indices suffisants que X.________ verse effectivement chaque mois une pension de 1'000 fr. pour sa fille U.________, mais il n’est en revanche pas clairement établi qu’il le fasse réellement pour ses deux enfants cadets dans la mesure où la convention produite n’a été ni signée ni ratifiée, que son exécution ne ressort d’aucune pièce, et qu’il a déclaré qu’ils vivaient sous son toit. Dans son arrêt du 6B_70/2016 du 2 juin 2016 concernant X.________, le Tribunal fédéral avait retenu que la charge fiscale du prévenu s’élevait à environ 210'000 fr. pour un revenu net de 440'000 fr. et que dans cette mesure, il apparaissait adéquat de fixer la valeur du jour-amende à 630 francs. Dans ce calcul, il n’avait pas été pris en compte la contribution de 1'000 fr. versée chaque mois pour U.________. Dès lors que cette charge est retenue, il se justifie d’adapter le montant du jour-amende le baissant à 590 francs et d’admettre très partiellement le grief de X.________ dans cette mesure. Au vu de la diminution très relative du montant du jours-amende, il n’y a pas lieu de revoir le montant de l’amende infligée au prévenu par la première juge qui sera au surplus confirmée (art. 106 al. 3 CP). IV. En définitive, l’appel de X.________ sera très partiellement admis, l’appel du Ministère public rejeté, et le dispositif du jugement entrepris modifié dans le sens des considérants qui précèdent. Les frais de la procédure d’appel par, 2’680 fr. (art. 21 al. 1 et 2 TFIP [Tarif des frais de procédure et indemnités en matière pénale du 28 septembre 2010; RSV 312.03.1]), seront mis par moitié à la charge de l’appelant dans la mesure où il n’obtient que très partiellement gain de cause et qu’il succombe sur la majorité de ses griefs. L’appelant qui avait conclu au rejet de l’appel du Ministère public a droit à une indemnité pour les dépenses occasionnées par l’exercice raisonnable de ses droits de procédure (art. 429 al. 1 let. a CPP). Au vu de la complexité du dossier, il sera retenu</w:t>
      </w:r>
    </w:p>
    <w:p>
      <w:r>
        <w:rPr>
          <w:b/>
        </w:rPr>
        <w:t>E. 6</w:t>
      </w:r>
    </w:p>
    <w:p>
      <w:r>
        <w:t>al. 2 DPA). L’appel de X.________ doit être rejeté sur ce point. 2.</w:t>
      </w:r>
    </w:p>
    <w:p>
      <w:r>
        <w:rPr>
          <w:b/>
        </w:rPr>
        <w:t>E. 8</w:t>
      </w:r>
    </w:p>
    <w:p>
      <w:r>
        <w:t>heures de travail au tarif horaire de 300 fr., soit une indemnité de 2'400 francs. Dès lors que l’appel du Ministère public ne portait que sur un seul grief, celle-ci sera réduite de moitié. Ainsi l’indemnité totale versée à l’appelant sera fixée à 1'296 fr., TVA comprise. Elle sera en outre compensée avec les frais de première instance mis à sa charge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