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80 vom 20. Oktober 2016</w:t>
      </w:r>
    </w:p>
    <w:p>
      <w:r>
        <w:t>VD Tribunal cantonal, 2016-10-20, FR</w:t>
      </w:r>
    </w:p>
    <w:p>
      <w:r>
        <w:rPr>
          <w:b/>
        </w:rPr>
        <w:t xml:space="preserve">Quelle: </w:t>
      </w:r>
      <w:r>
        <w:t>https://mcp.opencaselaw.ch/entscheid/vd_findinfo_Jug___2017___80</w:t>
      </w:r>
    </w:p>
    <w:p>
      <w:r>
        <w:t>FR: VD_FINDINFO Jug / 2017 / 80 du 20 octobre 2016</w:t>
      </w:r>
    </w:p>
    <w:p>
      <w:r>
        <w:t>IT: VD_FINDINFO Jug / 2017 / 80 del 20 ottobre 2016</w:t>
      </w:r>
    </w:p>
    <w:p>
      <w:pPr>
        <w:pStyle w:val="Heading2"/>
      </w:pPr>
      <w:r>
        <w:t>Regeste</w:t>
      </w:r>
    </w:p>
    <w:p>
      <w:r>
        <w:t>USAGE ABUSIF, INSTALLATION DE TÉLÉCOMMUNICATION, CONTRAINTE{DROIT PÉNAL}, AMENDE | 106 CP, 179septies CP, 181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fait valoir que son droit d'être entendu et défendu n'a pas été respecté, dès lors que la partie adverse était assistée d'un avocat et que l'importance de la cause justifiait qu'il soit lui aussi pourvu d'un défenseur.</w:t>
      </w:r>
    </w:p>
    <w:p>
      <w:r>
        <w:rPr>
          <w:b/>
        </w:rPr>
        <w:t>E. 3.2</w:t>
      </w:r>
    </w:p>
    <w:p>
      <w:r>
        <w:t>Aux termes de l'art. 132 CPP,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 ATF 133 I 201 consid. 2.2). Tel est le cas de l'autorité de céans (cf. consid. 2 supra).</w:t>
      </w:r>
    </w:p>
    <w:p>
      <w:r>
        <w:rPr>
          <w:b/>
        </w:rPr>
        <w:t>E. 3.3</w:t>
      </w:r>
    </w:p>
    <w:p>
      <w:r>
        <w:t>En l'espèce, dans la mesure où A.________ était passible d'une peine pécuniaire ferme de 300 jours-amende selon l'acte d'accusation dressé par le Ministère public de l'arrondissement du Nord vaudois, le premier juge aurait dû désigner un avocat d'office à l'appelant puisque l'affaire remplissait les conditions de l'art. 132 al. 2 et 3 CPP. Dans sa déclaration d'appel, le défenseur d'office de A.________, désigné par le Président de la Cour de céans pour la procédure d'appel, soulève le grief sous l'angle de la violation du droit d'être entendu, mais ne conclut pas à l'annulation du jugement attaqué. Dès lors que l'appel a un effet dévolutif complet et que l'absence de défenseur d'office en première instance a été réparée pour la procédure d'appel, il y a lieu de considérer que le vice est guéri.</w:t>
      </w:r>
    </w:p>
    <w:p>
      <w:r>
        <w:rPr>
          <w:b/>
        </w:rPr>
        <w:t>E. 4.1</w:t>
      </w:r>
    </w:p>
    <w:p>
      <w:r>
        <w:t>Le prévenu conteste sa condamnation pour utilisation abusive d'une installation de télécommunication et pour contrainte. Il nie avoir voulu harceler et menacer B.________ et soutient que celle-ci a eu un comportement ambivalent après leur rupture et même après le dépôt de sa plainte, de sorte que la responsabilité de cette situation appartiendrait autant à l'un qu'à l'autre. En outre, malgré l'abondance des courriers et de leur persistance, il considère qu'il n'a fait preuve d'aucune méchanceté ou espièglerie au sens de l'art. 179 septies CP.</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4.3</w:t>
      </w:r>
    </w:p>
    <w:p>
      <w:r>
        <w:t>En l'espèce, pour retenir les faits à la charge du prévenu, le premier juge a relevé que celui-ci ne contestait pas réellement les faits qui lui étaient reprochés, que les plaignantes avaient confirmé la réalité du véritable harcèlement dont il s'était rendu coupable, qu'un témoin avait attesté d'un épisode de harcèlement qui avait eu lieu dans un établissement public d'Yverdon-les-Bains et que le dossier regorgeait de courriers et autres courriels insistants du prévenu. Il convient d'ajouter à ces éléments les attestations médicales des 7 mars et 11 août 2016, qui confirment que B.________ a été l'objet d'un important harcèlement qui a engendré des troubles du sommeil et de l'humeur, des craintes de sortir de chez elle ou de son lieu de travail et d'angoisses liées à la peur que l'appelant puisse se montrer violent envers elle ou ses proches. Des symptômes dépressifs, tels une baisse de l'humeur, ainsi que des sentiments de colère et de tristesse importants, ont également été observés chez la patiente, qui a été mise sous médication antidépressive et anxiolytique. L'ensemble de ces éléments probatoires démontre que la condamnation de l'appelant a été prononcée sans violation de la présomption d'innocence et que les faits ont été établis à satisfaction de droit. Il ne fait pas de doute non plus, à la lecture de certains courriers, que le prévenu a agi intentionnellement, avec méchanceté et agressivité, ne supportant pas que B.________ mette un terme à leur relation et agissant de la sorte dans le but de l'importuner, la contraignant à plusieurs reprises à changer de numéro de téléphone et à adopter divers comportements d'évitement. Les infractions d'utilisation abusive d'une installation de télécommunication et de contrainte doivent par conséquent être confirmées.</w:t>
      </w:r>
    </w:p>
    <w:p>
      <w:r>
        <w:rPr>
          <w:b/>
        </w:rPr>
        <w:t>E. 5.1</w:t>
      </w:r>
    </w:p>
    <w:p>
      <w:r>
        <w:t>L'appelant invoque ses difficultés de santé pour faire valoir que le premier juge aurait dû douter de sa pleine responsabilité. Sans requérir d'expertise psychiatrique, il considère que la question d'une diminution de responsabilité se pose sérieusement.</w:t>
      </w:r>
    </w:p>
    <w:p>
      <w:r>
        <w:rPr>
          <w:b/>
        </w:rPr>
        <w:t>E. 5.2</w:t>
      </w:r>
    </w:p>
    <w:p>
      <w:r>
        <w:t>Selon la jurisprudence relative à l'art. 13 al. 1 aCP (qui conserve sa valeur sous l’angle de l’art. 20 CP),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 132 IV 29 consid. 5.1).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(ATF 116 IV 273 consid. 4a ; 102 IV 74 consid. 1b). Les doutes doivent porter sur la personne du prévenu, et résulter d’éléments du dossier le concernant, et non de la nature même de l’accusation (TF 6B_669/2007 du 16 janvier 2008 consid. 3.2).</w:t>
      </w:r>
    </w:p>
    <w:p>
      <w:r>
        <w:rPr>
          <w:b/>
        </w:rPr>
        <w:t>E. 5.3</w:t>
      </w:r>
    </w:p>
    <w:p>
      <w:r>
        <w:t>Dans le cas particulier, l'appelant invoque un accident vasculaire cérébral, soit une pathologie physique et non des antécédents psychiatriques qui devraient faire douter de sa responsabilité. Ces éléments sont manifestement insuffisants. Le prévenu a mené une existence parfaitement normale jusqu'à sa retraite, exerçant les professions de [...] et de [...]. Le comportement illicite du prévenu n'est nullement aberrant, mais correspond à un refus obstiné de la rupture d'une relation sentimentale. Le fait que le prévenu aurait une démarche hésitante, une parole « empruntée », une écriture tremblante ou qu'il fasse plus vieux que son âge ne permet pas de douter de sa responsabilité pénale. Il n'existe donc pas de motif suffisant pour faire application de l'art. 20 CP.</w:t>
      </w:r>
    </w:p>
    <w:p>
      <w:r>
        <w:rPr>
          <w:b/>
        </w:rPr>
        <w:t>E. 6.1</w:t>
      </w:r>
    </w:p>
    <w:p>
      <w:r>
        <w:t>L'appelant conteste la quotité de la peine prononcée en première instance, qu'il estime arbitrairement sévère.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6.3</w:t>
      </w:r>
    </w:p>
    <w:p>
      <w:r>
        <w:t>Pour fixer la peine, le premier juge a retenu à charge, sur le plan objectif, la répétition des actes, la gravité du harcèlement qui s'est poursuivi même dans les lieux publics et le fait que le prévenu n'avait tenu aucun de ses engagements malgré les sérieuses mises en garde de l'autorité pénale et, sur le plan subjectif, l'inversion des rôles, le prévenu rendant la plaignante responsable de ses problème de santé. La prise de conscience devait donc être considérée comme nulle. A décharge, le juge a retenu les bons antécédents du prévenu et le fait qu'il n'avait plus importuné les plaignantes depuis août 2016, ce qui ne représentait toutefois, au moment du jugement de première instance, qu'une courte période de deux mois. Ces éléments sont pertinents. Il faut néanmoins observer que le harcèlement téléphonique réprimé selon l'art. 179 septies CP consacre une contravention et que le premier juge a prononcé une amende de 300 fr. pour ces faits. Il apparaît en conséquence que la condamnation à une peine pécuniaire de 300 jours pour le délit de contrainte est trop élevée, car disproportionnée par rapport à l'amende de 300 fr. retenue pour le délit d'utilisation abusive d'une installation de télécommunication. Pour tenir compte de la gravité objective et subjective de la contrainte, il convient de prononcer une peine pécuniaire de 150 jours. L'appel doit ainsi être admis dans cette mesure. Compte tenu des revenus de l'appelant de l'ordre de 3'000 fr. par mois et de ses charges, notamment de la saisie mensuelle de 650 fr., le montant du jour-amende sera fixé à 10 fr. au lieu de 30 francs.</w:t>
      </w:r>
    </w:p>
    <w:p>
      <w:r>
        <w:rPr>
          <w:b/>
        </w:rPr>
        <w:t>E. 7.1</w:t>
      </w:r>
    </w:p>
    <w:p>
      <w:r>
        <w:t>L'appelant conteste enfin le refus du sursis.</w:t>
      </w:r>
    </w:p>
    <w:p>
      <w:r>
        <w:rPr>
          <w:b/>
        </w:rPr>
        <w:t>E. 7.2</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w:t>
      </w:r>
    </w:p>
    <w:p>
      <w:r>
        <w:rPr>
          <w:b/>
        </w:rPr>
        <w:t>E. 7.3</w:t>
      </w:r>
    </w:p>
    <w:p>
      <w:r>
        <w:t>En l'espèce, l'appelant a certes réitéré ses agissements en cours d'enquête, alors qu'il avait pris formellement l'engagement de ne plus importuner les parties plaignantes. Il n'en demeure pas moins qu'il n'a aucun antécédent et qu'il a cessé d'entrer en contact avec les plaignantes depuis août 2016. Compte tenu de l'ensemble des circonstances et du fait que le pronostic quant au comportement futur de l'appelant n'apparait pas clairement défavorable, il ne se justifie pas de prononcer une peine ferme. L'appel sur ce point doit par conséquent être admis et le sursis accordé avec un délai d'épreuve de deux ans.</w:t>
      </w:r>
    </w:p>
    <w:p>
      <w:r>
        <w:rPr>
          <w:b/>
        </w:rPr>
        <w:t>E. 8</w:t>
      </w:r>
    </w:p>
    <w:p>
      <w:r>
        <w:t>Enfin, c'est en vain que l'appelant conteste les montants alloués à B.________ en invoquant une prétendue coresponsabilité de celle-ci, qui n'est nullement établie, alors que les actes illicites de l'appelant le sont et que les montants alloués à titre de frais médicaux, de tort moral et de dépens sont justifiés.</w:t>
      </w:r>
    </w:p>
    <w:p>
      <w:r>
        <w:rPr>
          <w:b/>
        </w:rPr>
        <w:t>E. 9</w:t>
      </w:r>
    </w:p>
    <w:p>
      <w:r>
        <w:t>En définitive, l'appel de A.________ doit être partiellement admis et le jugement entrepris modifié au chiffre II de son dispositif en ce sens que A.________ est condamné à une peine pécuniaire de 150 jours-amende avec sursis pendant 2 ans, le montant du jour-amende étant fixé à 10 fr., et à une amende de 300 francs. Me Paris, défenseur d'office de l'appelant, a produit une liste d'opérations de laquelle il n'y a pas lieu de s'écarter et à laquelle il faut ajouter le temps consacré à l'audience d'appel. Il sera par conséquent retenu 13h30 de travail au tarif horaire de 180 fr., 120 fr. pour la vacation relative à l'audience d'appel et 300 fr. en chiffres ronds pour les débours, ce qui correspond à la somme de 3'078 fr., TVA comprise. Vu l’issue de la cause, les frais de la procédure d’appel, par 1'940 fr. (art. 21 al. 1 et 2 TFIP [tarif des frais de procédure et indemnités en matière pénale du 28 septembre 2010 ; RSV 312.03.1]) et l'indemnité du défenseur d'office de l'appelant par 3'078 fr., soit au total 5'018 fr., doivent être mis pour moitié à la charge de l'appelant, le solde étant laissé à la charge de l'Etat (art. 428 al. 1 CPP). L'appelant ne sera tenu de rembourser à l’Etat la moitié de l’indemnité en faveur de son défenseur d’office que lorsque sa situation financière le permettra. Me Jaillet, conseil de choix de l'intimée B.________, a produit une liste d'opérations indiquant un total de 1'726 fr. 90, TVA et débours inclus. Dès lors que l'appelant succombe sur le principe de la réalisation des infractions et sur les conclusions civiles, seule la peine étant revue à la baisse, il devra verser à B.________ la somme de 1'500 fr. à titre de juste indemnité pour les dépenses obligatoires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