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 vom 15. Juli 2016</w:t>
      </w:r>
    </w:p>
    <w:p>
      <w:r>
        <w:t>VD Tribunal cantonal, 2016-07-15, FR</w:t>
      </w:r>
    </w:p>
    <w:p>
      <w:r>
        <w:rPr>
          <w:b/>
        </w:rPr>
        <w:t xml:space="preserve">Quelle: </w:t>
      </w:r>
      <w:r>
        <w:t>https://mcp.opencaselaw.ch/entscheid/vd_findinfo_Jug___2017___8</w:t>
      </w:r>
    </w:p>
    <w:p>
      <w:r>
        <w:t>FR: VD_FINDINFO Jug / 2017 / 8 du 15 juillet 2016</w:t>
      </w:r>
    </w:p>
    <w:p>
      <w:r>
        <w:t>IT: VD_FINDINFO Jug / 2017 / 8 del 15 luglio 2016</w:t>
      </w:r>
    </w:p>
    <w:p>
      <w:pPr>
        <w:pStyle w:val="Heading2"/>
      </w:pPr>
      <w:r>
        <w:t>Regeste</w:t>
      </w:r>
    </w:p>
    <w:p>
      <w:r>
        <w:t>BRIGANDAGE, COMPLICITÉ, APPRÉCIATION DES PREUVES | 140 CP, 25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M.________ est recevable dans la mesure où il porte principalement sur la question de la culpabilité du prévenu.</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L'appelante soutient que le second auteur de son agression est le prévenu W.________ et qu’il doit être reconnu coupable de brigandage. Elle affirme avoir clairement vu ce dernier et que la participation éventuelle de Q.________ n’exclut en rien celle du prévenu. Elle fait valoir que le prévenu avait admis sa participation en cours d’enquête et que son revirement n’est pas crédible.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w:t>
      </w:r>
    </w:p>
    <w:p>
      <w:r>
        <w:t>Contrairement à ce que soutient l’appelante, le prévenu n’a jamais reconnu avoir participé au brigandage. Il a seulement avoué qu’il était dans la voiture et qu’il savait ce que L.________ allait faire puisque ce dernier lui avait proposé une « mission », soit un vol (P. 404, p. 5). Il a confirmé ses déclarations lors de l’audience d’instruction du 17 décembre 2015 (P. 413) puis lors de l’audience du 15 juillet 2016 (P. 418). L’appelante a indiqué, dans sa plainte, avoir vu deux jeunes hommes africains qui couraient dans sa direction. Les deux étaient de grandes tailles et avaient des capuches sur la tête (P. 604). Parmi les cinq occupants du véhicule, aucun ne met en cause W.________ comme étant la seconde personne qui est sortie de la voiture pour participer au brigandage. Le conducteur C.________ n’a pas voulu révéler l’identité du comparse de L.________ (P. 409). I.________ a expliqué qu’il ne connaissait pas le nom du second individu mais qu’il se trouvait sur le siège passager et que ce n’était pas le prévenu (P. 505, p. 14). L.________ a quant à lui affirmé qu’un comparse était bien descendu du véhicule avec lui et qu’il lui avait donné le téléphone volé. Il a toutefois refusé de donner son nom, quand bien même il a indiqué que c’était un majeur et que l’idée du vol du téléphone était venue du passager avant du véhicule (P. 414). Par ailleurs, il ressort du rapport d’investigation du 9 août 2015 que la police n’impute aucune participation au prévenu, lequel est seulement mentionné comme présent et assis à l’arrière du véhicule (P. 504, p. 21). La perquisition chez W.________ s’est d’ailleurs révélée négative (P. 504, p. 14). Les soupçons de la police quant à l’identité de la personne majeure se sont plutôt portés sur Q.________ (P. 504, p. 22 et P. 505). De plus, si la plaignante a pu reconnaître formellement L.________, dont elle dit avoir clairement vu le visage, derrière une vitre sans tain, il n’y a pas eu d’opération d’instruction similaire pour le prévenu. Il résulte du courrier du 4 février 2016 du conseil de la partie plaignante que celle-ci impute au prévenu une participation au brigandage parce qu’il s’agissait du seul autre homme pouvant être considéré comme de couleur noire présent dans la voiture (P. 6046). Toutefois, il apparaît plutôt à l’examen des photos au dossier que W.________ est plutôt métis (cf. photos jointes à la P. 416), ce que la Cour de céans a pu constater à l’audience de ce jour. L.________ s’est d’ailleurs décrit comme le seul homme de couleur noire présent dans la voiture le 17 mars 2015 (P. 414, p. 4). Il ne peut donc pas être exclu que la victime ait été induite en erreur par la capuche que portaient les agresseurs ainsi que par le fait que celui qui s’en est physiquement pris à elle était Noir. Sans remettre en cause les déclarations de l’appelante, il n’existe pas suffisamment d’éléments au dossier pour affirmer que le second individu accompagnant L.________ était W.________. Un doute existe, qui doit profiter à l’accusé. Enfin, la participation d’un troisième homme est encore moins soutenable compte tenu des déclarations de tous les protagonistes. Au vu des éléments qui précèdent, c’est à juste titre que le Tribunal des mineurs a libéré W.________ de l’infraction de brigandage.</w:t>
      </w:r>
    </w:p>
    <w:p>
      <w:r>
        <w:rPr>
          <w:b/>
        </w:rPr>
        <w:t>E. 4</w:t>
      </w:r>
    </w:p>
    <w:p>
      <w:r>
        <w:t>L’appelante soutient, à titre subsidiaire, que le prévenu s’est rendu coupable de complicité de brigandage.</w:t>
      </w:r>
    </w:p>
    <w:p>
      <w:r>
        <w:rPr>
          <w:b/>
        </w:rPr>
        <w:t>E. 4.1</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 TF 6B_217/2014 du 28 août 2014).</w:t>
      </w:r>
    </w:p>
    <w:p>
      <w:r>
        <w:rPr>
          <w:b/>
        </w:rPr>
        <w:t>E. 4.2</w:t>
      </w:r>
    </w:p>
    <w:p>
      <w:r>
        <w:t>En l’espèce, comme on l’a vu, la seule présence du prévenu dans le véhicule volé qui s’est arrêté à hauteur de la victime est insuffisante pour retenir une complicité. Certes, L.________ l’a contacté pour aller faire une « mission » (P. 404, p. 5). Les protagonistes ont ainsi pris la voiture pour faire une expédition commune, à savoir des vols à l’arraché. Ils n’ont toutefois à aucun moment planifié de commettre des vols avec violence. A cet égard, il ressort clairement des déclarations de L.________ qu’il a pris seul l’initiative d’utiliser la force pour voler le téléphone de l’appelante : « Le passager avant m’a dit qu’il fallait que je prenne le téléphone. J’aurais pu refuser, mais je ne l’ai pas fait pour prouver que j’étais un caïd. Personne ne m’a demandé de faire preuve de violence pour prendre le téléphone », « J’ai fait preuve de violence pour montrer que j’étais un caïd » (P. 414, p. 4). Le prévenu ne savait tout simplement pas que L.________ allait agir avec violence. Dans ces circonstances, on ne peut retenir que W.________ a apporté une quelconque aide à L.________ ni qu’il a favorisé le fait que celui-ci agisse de la sorte. Le grief de l’appelante sera par conséquent rejeté.</w:t>
      </w:r>
    </w:p>
    <w:p>
      <w:r>
        <w:rPr>
          <w:b/>
        </w:rPr>
        <w:t>E. 5</w:t>
      </w:r>
    </w:p>
    <w:p>
      <w:r>
        <w:t>Compte tenu de ce qui précède, les conclusions de l’appelante tendant à l’indemnisation du tort moral subi et à l’allocation d’une juste indemnité au sens de l’art. 433 CPP deviennent sans objets.</w:t>
      </w:r>
    </w:p>
    <w:p>
      <w:r>
        <w:rPr>
          <w:b/>
        </w:rPr>
        <w:t>E. 6</w:t>
      </w:r>
    </w:p>
    <w:p>
      <w:r>
        <w:t>En définitive, l'appel de M.________ doit être rejeté et le jugement rendu le 15 juillet 2016 par le Tribunal des mineurs intégralement confirmé. L’indemnité due au défenseur d’office du prévenu pour la procédure d’appel sera arrêtée à 1'490 fr. 40, correspondant à 7 heures d’activités à 180 fr., une vacation plus la TVA. La liste d’opérations produite doit être réduite dans cette mesure. Tout d’abord le temps indiqué pour les déterminations et la préparation de l’audience est excessif. Ensuite, il n’y a pas lieu de rémunérer le temps consacré à une demande de non-entrée en matière mal fondée. Vu l’issue de la cause, les frais de la procédure d’appel, constitués de l’émolument d’arrêt, par 805 fr. (art. 21 TFIP [Tarif des frais de procédure et indemnités en matière pénale du 28 septembre 2010 ; RSV 312.03.1]), et de l’indemnité allouée au défenseur d’office de W.________, par 1'490 fr. 40, seront mis à la charge de M.________, qui succombe (art. 428 al. 1 CPP). Le prévenu étant pourvu d’un défenseur d’office dans le cadre de la présente procédure, il n’y a pas matière à l’allocation d’une indemnité au sens de l’art. 432 CPP (ATF 138 IV 205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