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7 vom 25. August 2016</w:t>
      </w:r>
    </w:p>
    <w:p>
      <w:r>
        <w:t>VD Tribunal cantonal, 2016-08-25, FR</w:t>
      </w:r>
    </w:p>
    <w:p>
      <w:r>
        <w:rPr>
          <w:b/>
        </w:rPr>
        <w:t xml:space="preserve">Quelle: </w:t>
      </w:r>
      <w:r>
        <w:t>https://mcp.opencaselaw.ch/entscheid/vd_findinfo_Jug___2017___7</w:t>
      </w:r>
    </w:p>
    <w:p>
      <w:r>
        <w:t>FR: VD_FINDINFO Jug / 2017 / 7 du 25 août 2016</w:t>
      </w:r>
    </w:p>
    <w:p>
      <w:r>
        <w:t>IT: VD_FINDINFO Jug / 2017 / 7 del 25 agosto 2016</w:t>
      </w:r>
    </w:p>
    <w:p>
      <w:pPr>
        <w:pStyle w:val="Heading2"/>
      </w:pPr>
      <w:r>
        <w:t>Regeste</w:t>
      </w:r>
    </w:p>
    <w:p>
      <w:r>
        <w:t>TENTATIVE{DROIT PÉNAL}, MEURTRE, COMMERCE DE STUPÉFIANTS, DOL ÉVENTUEL, CONSTATATION DES FAITS, RÉVOCATION DU SURSIS | 12 al. 2 CP, 22 ad 111 CP, 46 CP, 19 ch. 2 LStup, 10 CPP (CH)</w:t>
      </w:r>
    </w:p>
    <w:p>
      <w:pPr>
        <w:pStyle w:val="Heading2"/>
      </w:pPr>
      <w:r>
        <w:t>Erwägungen</w:t>
      </w:r>
    </w:p>
    <w:p>
      <w:r>
        <w:rPr>
          <w:b/>
        </w:rPr>
        <w:t>E. 1</w:t>
      </w:r>
    </w:p>
    <w:p>
      <w:r>
        <w:t>Interjeté dans les formes et délais légaux par une partie ayant la qualité pour recourir contre le jugement d’un tribunal de première instance qui a clos la procédure (art. 398 al. 1 CPP), l’appel de T.________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Se prévalant d’une constatation inexacte des faits, l'appelant conteste s’être rendu coupable d’infraction grave à la loi fédérale sur les stupéfiants (LStup ; RS 812.121). Il soutient que s'il a agressé B.________ le 19 mai 2015, ce n'est pas, comme l'ont retenu les premiers juges, en raison d'un différend lié à un trafic de stupéfiants. Il n'aurait jamais été impliqué dans un tel trafic, ses déclarations contraires relevant de la pure invention. Il fait valoir que ses déclarations comporteraient d’importantes contradictions qui n’auraient pas été relevées et que les contrôles téléphoniques effectués ne permettaient pas selon le rapport de police lui-même d’établir un lien avec un trafic de drogue.</w:t>
      </w:r>
    </w:p>
    <w:p>
      <w:r>
        <w:rPr>
          <w:b/>
        </w:rPr>
        <w:t>E. 3.2</w:t>
      </w:r>
    </w:p>
    <w:p>
      <w:r>
        <w:t>L’art. 10 CPP dispose que toute personne est présumée innocente tant qu'elle n'est pas condamnée par un jugement entré en force (al. 1). Le t 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Au stade de l'appréciation des preuves, le grief d'arbitraire se confond avec celui déduit de la violation du principe in dubio pro reo . Comme principe présidant à l'appréciation des preuves, la présomption d'innocence (art. 10 CPP) est violée si le juge du fond se déclare convaincu de faits défavorables à l'accusé sur lesquels, compte tenu des éléments de preuve qui lui sont soumis, il aurait au contraire dû, objectivement, éprouver des doutes.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(TF 6B_1220/2015 du 19 juillet 2016 consid. 2.1 et les références citées).</w:t>
      </w:r>
    </w:p>
    <w:p>
      <w:r>
        <w:rPr>
          <w:b/>
        </w:rPr>
        <w:t>E. 3.3</w:t>
      </w:r>
    </w:p>
    <w:p>
      <w:r>
        <w:t>S’agissant de l’accusation d’infraction grave à la LStup, les premiers juges, en se fondant sur les propres déclarations du prévenu, ont retenu que T.________ avait conservé et surveillé pour le compte d’un fournisseur à tout le moins 350 g d’héroïne brute (jgt., p. 20). C'est en vain que le défenseur d'office, auteur de la déclaration d'appel, conteste les propres déclarations constantes de T.________. Celui-ci exposait, ce faisant, les circonstances et motifs de l'agression du 19 mai 2015. Il n'a jamais varié dans ses aveux quant à son implication dans un trafic et quant au fait que l'agression était motivée par un différend financier lié à un trafic de stupéfiants. On ne voit pas pourquoi il s'incriminerait de la sorte, alors qu'il aurait pu se contenter de refuser de s'expliquer, parler d'un différend financier sans en préciser la nature ou inventer n'importe quel autre motif. On ne saurait suivre la thèse du défenseur selon laquelle le prévenu aurait inventé l’existence d’un trafic de stupéfiants pour « justifier un acte condamnable » : personne ne peut sérieusement penser « justifier » une tentative de meurtre par un différend dans le cadre d'un trafic de stupéfiants dans lequel on serait soi-même impliqué ; si le but est de calomnier la victime pour la faire paraître vile et donc digne de son sort, il y a sans doute d'autres moyens. L'appel ne tente pas non plus de fournir une autre explication ou un autre motif à l'agression. La thèse du trafic d'héroïne est au surplus corroborée par divers éléments : les antécédents du prévenu et de B.________, tous deux condamnés en 2013 pour infraction à la LStup (P. 47 et 48) ; les contacts du prévenu et de B.________ avec des personnes ayant des relations dans le milieu des stupéfiants (P. 30) ; le changement de téléphone effectué par T.________ peu avant les faits, en raison des menaces du fournisseur dont il a fait état (P. 30) ; la disparition de B.________ qui n'a pas jugé utile de déposer plainte (P. 27 et 41) ; le contrôle positif de ce dernier aux opiacés et autres substances stupéfiantes (P. 26) ; le fait que B.________ et sa compagne, [...], affirment que le prévenu était impliqué dans un trafic ; l'absence d'une autre explication crédible fournie par B.________ ou [...] quant à l’origine de l’agression (selon le lésé, le prévenu l'aurait agressé pour trouver un refuge en prison contre ses créanciers, ce que le prévenu a nié en souriant [cf. PV aud. n. 3, p. 3 et n. 4, l. 141] ; selon [...], le prévenu, se sentant en danger en raison de sa propre implication dans un trafic, n'aurait pas apprécié que le couple qui l'hébergeait lui demande de partir [cf. PV aud. n. 2, p. D. 7], thèse à laquelle B.________ lui-même ne croit pas [PV aud. n. 3 p. 5]). C'est aussi en vain que l'appelant estime qu’il serait contradictoire que B.________, de son côté, n'ait pas été condamné. D’une part, ce dernier n'a pas été « lavé de tout soupçon » mais libéré au bénéfice du doute, et d’autre part, chaque dossier doit être jugé « per se », en fonction de ce qu'il contient. Cela étant, le Tribunal criminel a analysé longuement toutes ces questions, de façon complète et convaincante. On peut se référer à ses considérants pour le surplus (jgt., pp. 12 à 21). Il n'y a donc pas de constatation erronée des faits, sans qu'il soit nécessaire d'examiner en détail toutes les contradictions invoquées par la déclaration d'appel. C'est à juste titre que les premiers juges ont retenu, d'une part que le prévenu avait conservé et surveillé 350 g d'héroïne pour le compte d'un fournisseur, d'autre part que le motif de l'agression du 19 mai 2015 résidait dans un différend financier sur fond de trafic de stupéfiants. Partant, la condamnation du prévenu pour infraction grave à la LStup est correcte, cette qualification juridique n’ayant au demeurant pas été remise en cause.</w:t>
      </w:r>
    </w:p>
    <w:p>
      <w:r>
        <w:rPr>
          <w:b/>
        </w:rPr>
        <w:t>E. 4</w:t>
      </w:r>
    </w:p>
    <w:p>
      <w:r>
        <w:t>Invoquant toujours une constatation inexacte des faits, l'appelant conteste avoir fait preuve d'acharnement contre B.________. C'est au moment de déterminer quelle était l'intention du prévenu que le Tribunal criminel a considéré que ce dernier avait fait preuve d'acharnement (jgt, p. 27). Il ne s'agit pas d'un fait proprement dit mais d'une appréciation. Les faits en eux-mêmes, soit le déroulement de l'agression, les gestes commis par le prévenu, le nombre de coups de couteau, etc., ne sont pas contestés. Il n'y a pas de constatation inexacte des faits. On examinera plus loin si l'appréciation des premiers juges est fondée, l'appelant contestant l'intention.</w:t>
      </w:r>
    </w:p>
    <w:p>
      <w:r>
        <w:rPr>
          <w:b/>
        </w:rPr>
        <w:t>E. 5.1</w:t>
      </w:r>
    </w:p>
    <w:p>
      <w:r>
        <w:t>L'appelant conteste s'être rendu coupable de tentative de meurtre en niant l'intention homicide. Il soutient qu’il aurait seulement voulu blesser légèrement B.________ pour lui faire peur. Il fait valoir que tuer le débiteur de la dette dont il était le garant n'aurait pas eu de sens, économiquement parlant, que s'il l'avait vraiment voulu, sa victime serait morte, qu'il aurait donné peu de coups de couteau, qu'il ne se serait pas acharné sur le corps à terre, que B.________ aurait été son ami et son seul ancrage en Suisse et, enfin, que les blessures infligées auraient dépassé ce qu'il voulait, parce que la victime se serait débattue, ce qui l'aurait surpris.</w:t>
      </w:r>
    </w:p>
    <w:p>
      <w:r>
        <w:rPr>
          <w:b/>
        </w:rPr>
        <w:t>E. 5.2.1</w:t>
      </w:r>
    </w:p>
    <w:p>
      <w:r>
        <w:t>Aux termes de l'art. 111 CP, celui qui aura intentionnellement tué une personne sera puni d'une peine privative de liberté de cinq ans au moins, en tant que les conditions prévues aux articles suivant ne seront pas réalisées. Cette infraction étant intentionnelle, il faut que l’auteur ait eu l’intention de causer par son comportement la mort d’autrui. Le dol éventuel est toutefois suffisant (Dupuis et al. [éd.], Petit commentaire, Code pénal, Bâle 2012, n. 18 ad art. 111 CP).</w:t>
      </w:r>
    </w:p>
    <w:p>
      <w:r>
        <w:rPr>
          <w:b/>
        </w:rPr>
        <w:t>E. 5.2.2</w:t>
      </w:r>
    </w:p>
    <w:p>
      <w:r>
        <w:t>Selon l’art. 12 al. 2 CP, agit intentionnellement quiconque commet un crime ou un délit avec conscience et volonté. L’auteur agit déjà intentionnellement lorsqu’il tient pour possible la réalisation de l’infraction et l’accepte au cas où celle-ci se produirait. 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La doctrine et la jurisprudence distinguent le dessein (ou dol direct de premier degré), le dol simple (ou dol direct de deuxième degré) et le dol éventuel. Ces trois formes correspondent à un comportement intentionnel au sens de l’art. 12 al. 2 CP. Il y a dessein lorsque l’auteur prévoit les conséquences de son acte et cherche précisément à les produire. Le dol simple qualifie la situation où l’auteur ne s’est pas fixé pour but de commettre l’infraction et considère le résultat comme indifférent ou indésirable, mais s’en accommode car il s’agit du moyen de parvenir au but recherché. Enfin, le dol éventuel, qui correspond à l’hypothèse visée à l’art. 12 al. 2 CP, 2 e phrase, implique l’indifférence de l’auteur quant à la réalisation de l’infraction, de telle sorte qu’il doit dans son for intérieur approuver celle-ci ou y consentir. L’auteur envisage le résultat dommageable et s’en accommode, voire l’accepte comme tel. Un dol éventuel peut être réalisé même si l’auteur ne souhaite pas le résultat envisagé ou lorsque le résultat dommageable s’impose à l’auteur de manière si vraisemblable que son comportement ne peut raisonnablement être interprété que comme l’acceptation de ce résultat (Dupuis et al., op. cit., n. 10 à 16 ad art. 12 CP et les références citées). S’agissant de la distinction entre dol éventuel et négligence consciente, il faut relever que celui qui agit par dol éventuel s’accommode du résultat dommageable pour le cas où il se produirait, celui qui agit par négligence consciente escompte – ensuite d’une imprévoyance coupable – que ce résultat, qu’il envisage aussi comme possible, ne se produira pas. La distinction entre ces deux notions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Peuvent aussi constituer des éléments extérieurs révélateurs les mobiles de l’auteur et la manière dont il a agi (ATF 133 IV 9 consid. 4.1 ; TF 6B_718/2015 du 14 avril 2016 consid. 2 et les références citées ; cf. ég. Dupuis et al., op. cit., n. 19 à 21 ad art. 111 CP).</w:t>
      </w:r>
    </w:p>
    <w:p>
      <w:r>
        <w:rPr>
          <w:b/>
        </w:rPr>
        <w:t>E. 5.2.3</w:t>
      </w:r>
    </w:p>
    <w:p>
      <w:r>
        <w:t>Aux termes de l'art. 22 al. 1 CP, le juge peut atténuer la peine si l'exécution d'un crime ou d'un délit n'est pas poursuivie jusqu'à son terme ou que le résultat nécessaire à la consommation de l'infraction ne se produit pas ou ne pouvait pas se produire. Selon la jurisprudence, il y a tentative lorsque l’auteur a réalisé tous les éléments subjectifs de l’infraction et manifesté sa décision de la commettre, alors que les éléments objectifs font, en tout ou en partie, défaut (ATF 137 IV 113 consid. 1.4.2 ; ATF 131 IV 100 consid. 7.2.1). Il y a donc tentative de meurtre, lorsque l'auteur, agissant intentionnellement, au moins par dol éventuel, commence l'exécution de cette infraction, manifestant ainsi sa décision de la commettre, sans que le résultat ne se produise.</w:t>
      </w:r>
    </w:p>
    <w:p>
      <w:r>
        <w:rPr>
          <w:b/>
        </w:rPr>
        <w:t>E. 5.3</w:t>
      </w:r>
    </w:p>
    <w:p>
      <w:r>
        <w:t>Selon les faits retenus et qui ne sont pas contestés, le prévenu a saisi B.________ par derrière en lui passant un bras autour du cou. Avec l'autre main, tenant un couteau, il a fait un premier geste d'égorgement, provoquant une blessure de 15 cm de long, à 1 cm de l'artère carotide et à 0,5 cm de la veine jugulaire, laissant apparaître la trachée sous-jacente. Il a donné un deuxième coup au thorax, à gauche, causant une blessure au niveau du cinquième espace intercostal d'une profondeur maximale de 7,8 cm, soit la longueur de la lame du couteau, de 8 cm. Cette deuxième plaie a atteint la plèvre et le poumon gauche (P. 22). L'appelant ne tente plus de prétendre que ces plaies seraient dues aux gesticulations de la victime ou à leur chute simultanée à terre. Avec les premiers juges, on doit admettre que la longueur de la première blessure, la profondeur de la seconde, l'existence même d'un second coup et l'absence de secours porté excluent la thèse d’un geste accidentel dû à la résistance de la victime. La localisation de ces coups, visant les parties vitales du corps (carotide, cœur), et l'agression par derrière plaident pour l'intention homicide et non la tentative d'intimidation. Pour le surplus, les arguments de l'appelant ne convainquent pas. Le prévenu n'avait pas d'espoir d'encaisser la dette litigieuse d'un débiteur drogué et impécunieux. D’ailleurs, lorsqu’il s’est livré à la police, il a indiqué qu’il avait agi par vengeance (P. 17, p. 2). Il en outre déclaré avoir cru sa victime morte, ce qui explique qu'il n'ait pas jugé nécessaire de donner davantage de coups, en particulier au corps à terre. Quant à l’amitié, aussi ancienne soit-elle, elle n’a jamais empêché de se brouiller, en particulier pour des motifs financiers. En l'occurrence, la colère du prévenu était exacerbée par les craintes qu'il ressentait pour lui-même, ayant été selon lui menacé par le fournisseur créancier auprès duquel il était responsable de la dette de B.________. Enfin, il est quelque peu contradictoire d'affirmer qu'on maîtrise sa force physique et le maniement des armes, tout en soutenant que les choses ne se sont pas passées comme prévu. En définitive, l'intention homicide ne fait pas de doute et le Tribunal criminel a été bien indulgent de retenir « à tout le moins par dol éventuel » (jgt, p. 29 et 32). L'appelant fait encore valoir que la victime a rapidement été secourue et que sa vie n'a jamais été en danger nonobstant les coups reçus. On ne voit pas bien quelle conclusion il entend en tirer du point de vue de la qualification de l'infraction. La mise en danger concrète n'est pas une condition de la tentative de meurtre, qui est bien réalisée ici.</w:t>
      </w:r>
    </w:p>
    <w:p>
      <w:r>
        <w:rPr>
          <w:b/>
        </w:rPr>
        <w:t>E. 6.1</w:t>
      </w:r>
    </w:p>
    <w:p>
      <w:r>
        <w:t>L'appelant conteste la révocation du précédent sursis. Il fait valoir d'une part qu'il n'y aurait pas eu de récidive en matière de stupéfiants, d'autre part que le pronostic serait favorable : la tentative de meurtre ne serait qu'un accident de parcours exceptionnel, le prévenu ne présentant pas « les caractéristiques d'une personnalité hétéro-agressive à tel point que le sursis (...) doive être révoqué ».</w:t>
      </w:r>
    </w:p>
    <w:p>
      <w:r>
        <w:rPr>
          <w:b/>
        </w:rPr>
        <w:t>E. 6.2</w:t>
      </w:r>
    </w:p>
    <w:p>
      <w:r>
        <w:t>Selon l'art. 46 al. 1 CP, si, durant le délai d'épreuve, le condamné commet un crime ou un délit et qu'il y a dès lors lieu de prévoir qu'il commettra de nouvelles infractions, le juge révoque le sursis ou le sursis partiel. S'il n'y a pas lieu de prévoir que le condamné commettra de nouvelles infractions, le juge renonce à ordonner la révocation (al. 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6B_1165/2013 du 1 er mai 2014 consid. 2.2 et les références citées).</w:t>
      </w:r>
    </w:p>
    <w:p>
      <w:r>
        <w:rPr>
          <w:b/>
        </w:rPr>
        <w:t>E. 6.3</w:t>
      </w:r>
    </w:p>
    <w:p>
      <w:r>
        <w:t>Le premier grief de l'appel ayant été rejeté, il y a bien récidive spéciale puisque T.________ a été condamné le 17 septembre 2013 à 24 mois de peine privative de liberté pour infraction grave à la LStup. Cela étant, le prévenu vivait en France, gagnant quelque 2'000 à 2'500 euros par mois dans la construction. Il est venu en Suisse en clandestin, pour des motifs qu'il n'explique pas, et a repris une activité dans le trafic. La condamnation avec sursis qui lui a été infligée n'a eu aucun effet dissuasif. Le prévenu n'a pas exprimé de regrets à ce sujet, si ce n'est qu'il aurait voulu rendre service et se serait fait avoir (jgt, p. 8). Dans ces circonstances, seul un pronostic défavorable peut être émis, de sorte que la révocation du sursis accordé le 17 septembre 2013 s’impose.</w:t>
      </w:r>
    </w:p>
    <w:p>
      <w:r>
        <w:rPr>
          <w:b/>
        </w:rPr>
        <w:t>E. 7</w:t>
      </w:r>
    </w:p>
    <w:p>
      <w:r>
        <w:t>L'appelant ne conteste pas la peine en tant que telle et n’a formulé aucun grief quant aux éléments retenus à charge et à décharge par les premiers juges. Ceux-ci s’avèrent en l’occurrence pertinents et on peut y renvoyer (jgt., p. 33-34). Compte tenu en particulier de la gravité objective de la tentative de meurtre, de l'alcoolisation importante du prévenu au moment des faits, du concours avec deux autres infractions et de la reddition spontanée de T.________, la peine privative de liberté de 7,5 ans prononcée est adéquate et doit être confirmée.</w:t>
      </w:r>
    </w:p>
    <w:p>
      <w:r>
        <w:rPr>
          <w:b/>
        </w:rPr>
        <w:t>E. 8</w:t>
      </w:r>
    </w:p>
    <w:p>
      <w:r>
        <w:t>En définitive, l'appel de T.________ doit être rejeté et le jugement rendu le 25 août 2016 intégralement confirmé.</w:t>
      </w:r>
    </w:p>
    <w:p>
      <w:r>
        <w:rPr>
          <w:b/>
        </w:rPr>
        <w:t>E. 9</w:t>
      </w:r>
    </w:p>
    <w:p>
      <w:r>
        <w:t>Sur la base de la liste des opérations qu’il a produite, une indemnité de 2’905 fr. 20, comprenant 50 fr. de débours, une vacation de 120 fr., ainsi que la TVA, sera allouée à Me Philippe Liechti, défenseur d’office de T.________. Vu l'issue de la cause, les frais de la procédure d'appel, par 5'145 fr. 20, constitués en l’espèce de l'émolument du présent arrêt, par 2’240 fr. (art. 21 al. 1 et 2 TFIP [Tarif des frais de procédure et indemnités en matière pénale du 28 septembre 2010 ; RSV 312.03.1]), et de l’indemnité allouée au défenseur d’office du prévenu, seront mis à la charge de T.________, qui succombe (art. 428 al. 1 CPP). T.________ ne sera tenu de rembourser à l’Etat l’indemnité due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