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6 vom 17. Juni 2016</w:t>
      </w:r>
    </w:p>
    <w:p>
      <w:r>
        <w:t>VD Tribunal cantonal, 2016-06-17, FR</w:t>
      </w:r>
    </w:p>
    <w:p>
      <w:r>
        <w:rPr>
          <w:b/>
        </w:rPr>
        <w:t xml:space="preserve">Quelle: </w:t>
      </w:r>
      <w:r>
        <w:t>https://mcp.opencaselaw.ch/entscheid/vd_findinfo_Jug___2017___6</w:t>
      </w:r>
    </w:p>
    <w:p>
      <w:r>
        <w:t>FR: VD_FINDINFO Jug / 2017 / 6 du 17 juin 2016</w:t>
      </w:r>
    </w:p>
    <w:p>
      <w:r>
        <w:t>IT: VD_FINDINFO Jug / 2017 / 6 del 17 giugno 2016</w:t>
      </w:r>
    </w:p>
    <w:p>
      <w:pPr>
        <w:pStyle w:val="Heading2"/>
      </w:pPr>
      <w:r>
        <w:t>Regeste</w:t>
      </w:r>
    </w:p>
    <w:p>
      <w:r>
        <w:t>LOI FÉDÉRALE SUR LA CIRCULATION ROUTIÈRE, CAS GRAVE, DROIT DE GARDER LE SILENCE | 106 CP, 90 al. 2 LCR</w:t>
      </w:r>
    </w:p>
    <w:p>
      <w:pPr>
        <w:pStyle w:val="Heading2"/>
      </w:pPr>
      <w:r>
        <w:t>Erwägungen</w:t>
      </w:r>
    </w:p>
    <w:p>
      <w:r>
        <w:rPr>
          <w:b/>
        </w:rPr>
        <w:t>E. 1</w:t>
      </w:r>
    </w:p>
    <w:p>
      <w:r>
        <w:t>Interjeté dans les formes et délai légaux (art. 399 CPP) par une partie ayant la qualité pour recourir contre le jugement d’un tribunal de première instance ayant clos la procédure (art. 398 al. 1 CPP), l’appel est recevable. L’appel est traité en procédure écrite dès lors qu’il est dirigé contre un jugement rendu par un juge unique et que les parties y ont consenti (art. 406 al. 2 let. b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w:t>
      </w:r>
    </w:p>
    <w:p>
      <w:r>
        <w:rPr>
          <w:b/>
        </w:rPr>
        <w:t>E. 3.1</w:t>
      </w:r>
    </w:p>
    <w:p>
      <w:r>
        <w:t>Dans son mémoire, l’appelant requiert une nouvelle fois la mise en oeuvre d’une expertise du radar et du rapport de mesure.</w:t>
      </w:r>
    </w:p>
    <w:p>
      <w:r>
        <w:rPr>
          <w:b/>
        </w:rPr>
        <w:t>E. 3.2</w:t>
      </w:r>
    </w:p>
    <w:p>
      <w:r>
        <w:t>Selon l'art. 389 CPP, la procédure d'appel se fonde sur les preuves administrées pendant la procédure préliminaire et la procédure de première instance (al. 1). L’administration des preuves n’est répétée que si les dispositions en matière de preuves ont été enfreintes (al. 2, let. a), si l’administration des preuves était incomplète (let. b), ou si les pièces relatives à l’administration des preuves ne semblent pas fiables (let. c). La juridiction d'appel administre, d'office ou à la demande d'une partie, les preuves complémentaires nécessaires au traitement du recours (al. 3 ; TF 6B_78/2012 du 27 août 2012 consid. 3.1). L'immédiateté des preuves ne s'impose ainsi pas en instance d'appel (TF 6B_78/2012 du 27 août 2012 consid. 3.1). L'autorité de recours peut notamment refuser des preuves nouvelles, lorsqu'une administration anticipée de ces preuves démontre qu'elles ne seront pas de nature à modifier le résultat de celles déjà administrées (ATF 136 I 229 consid. 5.3).</w:t>
      </w:r>
    </w:p>
    <w:p>
      <w:r>
        <w:rPr>
          <w:b/>
        </w:rPr>
        <w:t>E. 3.3</w:t>
      </w:r>
    </w:p>
    <w:p>
      <w:r>
        <w:t>En l’occurrence, le prévenu avait d’ores et déjà requis cette mesure d’instruction en première instance, qui a été rejetée par le Tribunal de police de l’arrondissement de la Broye et du Nord vaudois (P. 21). Cette autorité avait toutefois donné mandat à la police de répondre aux questions du prévenu (P. 22 et 17). Selon le courrier de la gendarmerie au Tribunal de police (P. 23), la mesure de la vitesse a été effectuée au moyen du système immobile surveillé par un personnel spécialisé selon l’art. 6 let. a OOCCR (Ordonnance du 28 mars 2007 sur le contrôle de la circulation routière ; RS 741.013). Ce modèle « Traffic Observer », de type LMS (laser), est fabriqué par la maison CES. Il est composé des éléments suivants : - TO-CU-LMS-04 avec unité de contrôle photo numérique et vitesse, n°921608001, Metas 409075 ; - scanner à laser LMS 291-S05, n°1150043, Metas 423401-1. L’installation de ce radar pour le contrôle litigieux, qui date du 19 septembre 2015, a été faite par le Sergent [...] conformément aux diverses directives techniques légales. Ce dernier, intégré au Bureau du radar depuis le 1 er février 2011 et ayant suivi toutes les formations nécessaires pour effectuer des contrôles de la vitesse, a  attesté avoir effectué correctement la mise en station de l’appareil. Enfin, selon les certificats de vérification de l’Institut de Métrologie produits par la police, le système de surveillance au trafic et le scanner à laser, contrôlés respectivement le 17 juin 2015 et le 25 février 2015, répondent aux exigences légales. Pour la Cour, ces éléments sont suffisants. En effet, les certificats de vérification émanent de l’Institut que l’appelant voudrait voir désigner comme expert. L’appelant n’a fourni aucun élément de nature à faire douter de la conformité du contrôle aux exigences légales et techniques. Il s’est contenté de soutenir qu’il appartiendrait à l’accusation de faite la preuve de la culpabilité. Cela revient à dire qu’il suffirait de contester tout ce que dit l’accusation, celle-ci devant ainsi systématiquement prouver le contraire. Ainsi, si l’on ordonnait une expertise, et que le prévenu en conteste purement et simplement le résultat, il faudrait alors vérifier que l’expert dispose des compétences requises, s’il a travaillé correctement etc. ; cela n’est à l’évidence pas envisageable. Partant, la réquisition de preuve de l’appelant sera rejetée.</w:t>
      </w:r>
    </w:p>
    <w:p>
      <w:r>
        <w:rPr>
          <w:b/>
        </w:rPr>
        <w:t>E. 4</w:t>
      </w:r>
    </w:p>
    <w:p>
      <w:r>
        <w:t>L’appelant invoque une violation de son droit d’être entendu parce qu’il n’aurait pas pu s’exprimer au sujet de sa requête d’expertise et parce qu’aucun délai ne lui aurait été fixé pour faire des propositions d’expert.</w:t>
      </w:r>
    </w:p>
    <w:p>
      <w:r>
        <w:rPr>
          <w:b/>
        </w:rPr>
        <w:t>E. 4.1</w:t>
      </w:r>
    </w:p>
    <w:p>
      <w:r>
        <w:t>Le droit d'être entendu garanti à l'art. 29 al. 2 Cst., comprend celui de produire ou de faire administrer des preuves, à la condition qu'elles soient pertinentes ( ATF 135 I 187 consid. 2.2 p. 190; 135 II 286 consid. 5.1 p. 293). Le droit d'être entendu n'empêche pas le juge de mettre un terme à l'instruction lorsque les preuves administrées lui ont permis de se forger une conviction et que, procédant sans arbitraire à une appréciation anticipée des preuves qui lui sont encore proposées, il a la certitude qu'elles ne pourraient pas l'amener à modifier son opinion ( ATF 136 I 229 consid. 5.3 p. 236).</w:t>
      </w:r>
    </w:p>
    <w:p>
      <w:r>
        <w:rPr>
          <w:b/>
        </w:rPr>
        <w:t>E. 4.2</w:t>
      </w:r>
    </w:p>
    <w:p>
      <w:r>
        <w:t>L’art. 3 al. 2 let. c CPP prévoit qu’à tous les stades de la procédure, les autorités pénales se conforment à la maxime voulant qu’un traitement équitable et le droit d’être entendu soient garantis à toute les personnes touchées par la procédure. En vertu de l’art. 107 al. 1 let. e CPP, une partie peut, en se prévalant de son droit d’être entendu, déposer des propositions relatives aux moyens de preuves notamment. Selon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D’après la jurisprudence, le refus d'instruire ne viole ainsi le droit d'être entendu des parties que si l'appréciation anticipée de la pertinence du moyen de preuve offert, à laquelle le juge a procédé, est entachée d'arbitraire (TF 6B_496/2012 du 18 avril 2013 consid. 6.1 ; TF 1B_112/2012 du 6 décembre 2012 consid. 2.1). Tel que garanti par l'art. 29 al. 2 Cst.,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 ATF 132 Il 485 consid. 3.2 ; ATF 127 I 54 consid. 2b).</w:t>
      </w:r>
    </w:p>
    <w:p>
      <w:r>
        <w:rPr>
          <w:b/>
        </w:rPr>
        <w:t>E. 4.3</w:t>
      </w:r>
    </w:p>
    <w:p>
      <w:r>
        <w:t>Le droit d’être entendu comporte plusieurs facettes, notamment le droit de déposer des propositions relatives aux moyens de preuves. En sollicitant une expertise, il appartenait au prévenu d’exposer spontanément, sans qu’il soit besoin de le lui demander, l’utilité d’une telle mesure d’instruction, car le droit d’être entendu n’implique pas que toute mesure d’instruction requise doit être ordonnée. Fixer un délai pour faire une proposition d’expert était inutile puisque la requête d’expertise a été rejetée. Il n’y a ainsi pas de violation du droit d’être entendu. L’appelant aurait d’ailleurs pu faire valoir ses arguments en appel de sorte qu’un éventuel vice aurait pu être corrigé. Il ne l’a cependant pas fait. Le recourant semble encore soutenir que le refus de l’expertise violerait également son droit d’être entendu. Un tel grief ne peut qu’être rejeté puisque, comme on l’a vu, le juge peut renoncer à une mesure d’instruction dont l’inutilité apparaît d’emblée sur la base d’une appréciation anticipée des preuves. Or, en l’occurrence, comme relevé plus haut, le prévenu n’a apporté aucun élément permettant de douter de la bienfacture du contrôle de vitesse litigieux. Il fait valoir que « le lieu exact où la mesure de vitesse a été effectuée est inconnu » et que l’endroit ne serait pas adapté. Il ne suffit toutefois pas d’alléguer, il faut rendre vraisemblable, Or, le lieu du contrôle figure dans le rapport de police (P. 4); il est situé sur la commune de Moudon, route secondaire Possens/Moudon RC 543d, Bois Bataillard. Par ailleurs, comme déjà relevé, les policiers ont attesté (P. 23), que l’installation avait été faite conformément aux directives techniques et légales par un sous-officier formé à ça. Mal fondé, ce grief doit être rejeté.</w:t>
      </w:r>
    </w:p>
    <w:p>
      <w:r>
        <w:rPr>
          <w:b/>
        </w:rPr>
        <w:t>E. 5.1</w:t>
      </w:r>
    </w:p>
    <w:p>
      <w:r>
        <w:t>L’appelant expose ensuite qu’il ne conduisait pas la moto au moment où celle-ci a été flashée. Il affirme que le formulaire « de renseignements généraux » du 13 octobre 2015 au terme duquel figure la mention qu’il attestait que son identité correspondait au conducteur au moment de l’infraction et le rapport de police déduisant qu’il avait admis les faits ne sont pas exploitables conformément à l’art. 158 al. 2 CPP, parce qu’il n’aurait pas été informé de ses droits dans une langue qu’il comprenait. Il affirme encore n’avoir pas compris la phrase susmentionnée ni pourquoi il était censé remplir cette formule.</w:t>
      </w:r>
    </w:p>
    <w:p>
      <w:r>
        <w:rPr>
          <w:b/>
        </w:rPr>
        <w:t>E. 5.2</w:t>
      </w:r>
    </w:p>
    <w:p>
      <w:r>
        <w:t>L’art.</w:t>
      </w:r>
    </w:p>
    <w:p>
      <w:r>
        <w:rPr>
          <w:b/>
        </w:rPr>
        <w:t>E. 5.3</w:t>
      </w:r>
    </w:p>
    <w:p>
      <w:r>
        <w:t>L’art. 158 CPP, dispose, à son alinéa 1, qu’au début de la première audition, la police ou le ministère public informent le prévenu dans une langue qu'il comprend qu'une procédure préliminaire est ouverte contre lui et pour quelles infractions (let. a), qu'il peut refuser de déposer et de collaborer (let. b), qu'il a le droit de faire appel à un défenseur ou de demander un défenseur d'office (let. c) et qu'il peut demander l'assistance d'un traducteur ou d'un interprète (let. d). L’alinéa 2 de cette disposition précise que les auditions effectuées sans que ces informations aient été données ne sont pas exploitables.</w:t>
      </w:r>
    </w:p>
    <w:p>
      <w:r>
        <w:rPr>
          <w:b/>
        </w:rPr>
        <w:t>E. 5.4</w:t>
      </w:r>
    </w:p>
    <w:p>
      <w:r>
        <w:t>En l’occurrence, en début d’enquête, le prévenu a rempli un formulaire de renseignements généraux et un formulaire au sujet de l’identité du conducteur responsable par lequel il avait attesté que « l’identité ci-dessus », soit la sienne, correspondait au conducteur au moment de l’infraction, ce qui a fait dire au policier, auteur du rapport de dénonciation, que l’intéressé a reconnu les faits (P. 4). Le document litigieux n’est ainsi pas le formulaire de renseignements généraux (P. 5) comme l’indique l’appelant, mais une formule intitulée « identité du conducteur responsable » agrafée à la P. 4. Il ressort du rapport de police que c’est la police bernoise qui a informé le prévenu qu’un rapport de police serait établi, le 13 octobre 2015. C’est également probablement cette autorité qui a fait remplir la formule en question au prévenu qui, s’il avait des problèmes de compréhension, aurait pu poser des questions et obtenir une réponse en allemand. Le document est certes en français, mais chaque rubrique à remplir comporte aussi une traduction en allemand. Certes, la seule phrase qui n’est pas dans les deux langues est celle qui est justement litigieuse ici. Il faut toutefois noter qu’elle n’est pas présentée comme allant de soi, mais figure à côté d’une case qui doit être cochée, ce qui est le cas en l’espèce. On peut supposer que le prévenu – qui n’a à aucun moment de la procédure prétendu ne pas être l’auteur de la croix qui y figure – ne l’aurait pas cochée s’il n’en avait pas compris le contenu. Il ne fait donc pas de doute que O.________ a compris ce qu’il remplissait. Force est cependant de constater que rien dans le dossier n’indique que le prévenu aurait été avisé de ses droits procéduraux comme l’impose l’art. 158 al. 1 CP avant de remplir ce formulaire. Il n’est pas certain que le formulaire en question constitue une « première audition » au sens de l’article précité, puisque cette expression ne vaut que pour les interrogatoires durant lesquels les questions et les réponses sont consignées dans un procès-verbal, mais non pour les questions posées de manière informelle par la police qui tente de se faire une idée de la situation (Message du Conseil fédéral FF 2006 p. 1172). Cependant, la case à cocher contient bien une question implicite et la police a considéré la réponse comme un aveu des faits. Il est donc à craindre qu’une telle manière de procéder soit contraire à l’art. 158 CPP. Partant, cette « réponse » doit être considérée comme inexploitable au sens de l’art. 158 al. 2 CPP. On doit en revanche considérer que le véritable formulaire de renseignements généraux figurant sous P. 5, établi le même jour, n’est pas un interrogatoire au sens de l’art. 158 CPP et demeure, quant à lui, exploitable. 6. 6.1 L’appelant affirme ensuite que, sans cet aveu, le dossier ne contiendrait pas d’éléments suffisants pour établir sa culpabilité. Selon la jurisprudence, le conducteur d’un véhicule automobile ne saurait se voir condamner pour une infraction à la LCR (loi fédérale sur la circulation routière du 19 décembre 1958 ; RS741.01)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en faisant porter le fardeau de la preuve à ce dernier (ATF 106 IV 142 consid. 3 ; ATF 105 Ib 116 consid. 1).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sans franchir les limites de l'arbitraire. S'il arrive à la conclusion que le détenteur, malgré ses dénégations, est bien le conducteur fautif, la condamnation est fondée (ATF 106 IV 142 consid. 3). Il ne suffit pas au détenteur d'invoquer le droit au silence ou le droit de ne pas s'auto-incriminer pour échapper à une sanction lorsque sa culpabilité n'est pas douteuse (TF 6B_562/2010 du 28 octobre 2010 consid. 2.1.1 et les références citées). Lorsque l'accusé fait des déclarations contradictoires, il ne peut invoquer la présomption d'innocence pour contester les conclusions défavorables que le juge a, le cas échéant, tirées de ses déclarations (TF 1P.428/2003 du 8 avril 2004 consid. 4.6). Selon certains auteurs, le droit de se taire et de ne pas témoigner contre soi-même – droit consacré en termes explicites à l'art. 14 ch. 3 let. g Pacte ONU II – découle directement de la présomption d'innocence (TF 6B_562/2010 du 28 octobre 2010 consid. 2.1.1 et les références citées). La Cour européenne des droits de l'homme considère, pour sa part, que ce droit fait partie des normes internationales généralement reconnues qui se trouvent au cœur de la notion de procès équitable, selon l'art. 6 par. 1 CEDH (cf. ATF 131 IV 36 consid. 3.1 ; ATF 130 I 126 consid. 2.1 et les références citées). Le droit de se taire interdit au juge de fonder une condamnation exclusivement ou essentiellement sur le silence du prévenu, ou sur son refus de répondre à des questions ou de déposer. En revanche, ce droit n'interdit pas de prendre en considération le silence du prévenu dans des situations qui appellent assurément une explication de sa part, pour apprécier la force de persuasion des éléments à charge ; à cet égard, le droit de se taire n'a donc pas de portée absolue. Pour apprécier si le fait de tirer de son silence des conclusions défavorables au prévenu est contraire à l'art. 6 CEDH, il faut tenir compte de l'ensemble des circonstances et rechercher dans chaque cas si les charges de l'accusation sont suffisamment sérieuses pour appeler une réponse. Le juge de la cause pénale ne peut pas conclure à la culpabilité du prévenu simplement parce que celui-ci choisit de garder le silence. C'est seulement si les preuves à charge appellent une explication que l'accusé devrait être en mesure de donner que l'absence de celle-ci peut permettre de conclure, par un simple raisonnement de bon sens, qu'il n'existe aucune explication possible et que l'accusé est coupable (TF 6B_562/2010 du 28 octobre 2010 consid. 2.1.1 et les références citées). 6.2 En l’espèce, le véhicule flashé par le radar est immatriculé au nom du prévenu. Ce point n’est par ailleurs pas contesté. Il existe une présomption de fait qu’un véhicule automobile est conduit par son détenteur (TF 6B_748/2009 consid. 2.2), même si cette présomption ne constitue pas à elle-seule une preuve suffisante de culpabilité comme le fait valoir à juste titre, l’appelant. On peut raisonnablement, sur la base du dossier, considérer comme fortement invraisemblable que le véhicule ait été conduit par un tiers. Tout d’abord, il ne s’agit pas d’une voiture mais d’un motocycle ; tout le monde n’a pas ce permis-là et ce genre de véhicule se prête moins facilement. Ensuite, le véhicule immatriculé dans le canton de Berne où le prévenu est domicilié, a été flashé dans le canton de Vaud, un samedi matin par beau temps, ce qui ressemble à une course d’agrément  pour un motard. Enfin, il ressort des pièces 5 et 14 que le prévenu, né en 1961, est divorcé et sans enfant. De la pièce 5 on peut déduire qu’il n’a pas non plus de concubine puisqu’il n’a rien mis dans la case « conjoint-e/concubin-e ». Il vit dans une villa jumelle dont il est propriétaire. Ainsi, rien ne permet de penser qu’il vit avec d’autres adultes à qui il pourrait prêter sa moto. Enfin, interrogé cette fois officiellement après avoir été informé de ses droits (PV aud. 1), O.________ refuse de s’expliquer sans fournir de motifs, comme la volonté de ne pas incriminer un proche. Il dit simplement qu’il a « envie d’utiliser » ses droits. Ainsi, non seulement refuse-t-il de dire s’il était au guidon de sa moto, mais il refuse de dire s’il est ou non seul à conduire l’engin, quel était son emploi du temps le jour en question, et même de donner des renseignements concernant sa situation personnelle. Il n’a jamais formellement protesté de son innocence, se contentant de faire valoir qu’il n’y aurait pas de preuve et demandant une expertise du radar (P. 7 et P. 15). Au vu des éléments qui précèdent, on peut considérer que l’hypothèse de sa culpabilité est la seule plausible. Mal fondé, ce grief doit être rejeté. 7. Les moyens de l’appelant ont tous été rejetés. La peine sera toutefois vérifiée d’office. 7.1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 ATF 134 IV 17 consid. 2.1). 7.2 En l’occurrence, la peine prononcée est adéquate et doit être confirmée, la Cour de céans faisant entièrement sienne la motivation complète et convaincante du premier juge telle qu’exposée dans le jugement entrepris (art. 82 al. 4 CPP; jugement du 17 juin 2016 p.7 ss). Cette peine sera assortie du sursis dont l’intéressé remplit les conditions. 8. En définitive, mal fondé, l’appel doit être rejeté et le jugement entrepris intégralement confirmé. Vu l'issue de la cause, les frais d’appel, constitués du seul émolument de jugement, par 1’540 fr. (art. 21 al. 1 TFIP [Tarif des frais de procédure et indemnités en matière pénale du 28 septembre 2010; RSV 312.03.1]), sont mis à la charge de l’appelant qui succombe.</w:t>
      </w:r>
    </w:p>
    <w:p>
      <w:r>
        <w:rPr>
          <w:b/>
        </w:rPr>
        <w:t>E. 10</w:t>
      </w:r>
    </w:p>
    <w:p>
      <w:r>
        <w:t>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