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52 vom 27. September 2016</w:t>
      </w:r>
    </w:p>
    <w:p>
      <w:r>
        <w:t>VD Tribunal cantonal, 2016-09-27, FR</w:t>
      </w:r>
    </w:p>
    <w:p>
      <w:r>
        <w:rPr>
          <w:b/>
        </w:rPr>
        <w:t xml:space="preserve">Quelle: </w:t>
      </w:r>
      <w:r>
        <w:t>https://mcp.opencaselaw.ch/entscheid/vd_findinfo_Jug___2017___52</w:t>
      </w:r>
    </w:p>
    <w:p>
      <w:r>
        <w:t>FR: VD_FINDINFO Jug / 2017 / 52 du 27 septembre 2016</w:t>
      </w:r>
    </w:p>
    <w:p>
      <w:r>
        <w:t>IT: VD_FINDINFO Jug / 2017 / 52 del 27 settembre 2016</w:t>
      </w:r>
    </w:p>
    <w:p>
      <w:pPr>
        <w:pStyle w:val="Heading2"/>
      </w:pPr>
      <w:r>
        <w:t>Regeste</w:t>
      </w:r>
    </w:p>
    <w:p>
      <w:r>
        <w:t>FIXATION DE LA PEINE, PEINE PÉCUNIAIRE, SURSIS À L'EXÉCUTION DE LA PEINE | 34 CP, 42 CP, 43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 RS 312.0]), l’appel de G.________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se plaint d’avoir été condamné à une peine privative de liberté au lieu d’une peine pécuniaire. Il ne conteste en revanche pas la quotité de la peine.</w:t>
      </w:r>
    </w:p>
    <w:p>
      <w:r>
        <w:rPr>
          <w:b/>
        </w:rPr>
        <w:t>E. 3.1.1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3.1.2</w:t>
      </w:r>
    </w:p>
    <w:p>
      <w:r>
        <w:t>D'après la conception de la nouvelle partie générale du CP, la peine pécuniaire constitue la sanction principale dans le domaine de la petite et moyenne criminalité, les peines privatives de liberté ne devant être prononcées que lorsque l'Etat ne peut garantir d'une autre manière la sécurité publique (TF 6B_994/2009 du 24 juin 2010 consid. 1.1 ; ATF 134 IV 97 consid. 4.2.1 et 4.2.2).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(TF 6B_994/2009 du 24 juin 2010 consid. 1.1 ; ATF 134 IV 97 consid. 4.2.2). Le choix de la sanction doit être opéré en tenant compte au premier chef de l'adéquation de la peine, de ses effets sur l'auteur et sur sa situation sociale ainsi que de son efficacité du point de vue de la prévention (TF 6B_994/2009 du 24 juin 2010 consid. 1.1 ; ATF 134 IV 97consid. 4.2).</w:t>
      </w:r>
    </w:p>
    <w:p>
      <w:r>
        <w:rPr>
          <w:b/>
        </w:rPr>
        <w:t>E. 3.2</w:t>
      </w:r>
    </w:p>
    <w:p>
      <w:r>
        <w:t>G.________ a été condamné par les premiers juges pour tentative d’extorsion et chantage, extorsion et chantage, usure, soit des infractions passibles d’une peine privative de liberté de cinq ans au plus ou d’une peine pécuniaire, ainsi que pour contrainte, une infraction punie d’une peine privative de liberté de trois ans au plus ou d’une peine pécuniaire. La culpabilité de l’appelant est très lourde et les faits sont crasses. L’appelant a d’abord profité de la détresse financière de sa victime pour lui soutirer des intérêts usuraires importants, puis l’a harcelée et menacée, notamment de s’en prendre à sa famille, pendant plusieurs mois dans le but de lui extorquer encore plus de fonds, lui soustrayant en particulier son véhicule, qui était son outil de travail. Il a refusé de se contenter des montants usuraires déjà obtenus. Par ailleurs, il n’a pas hésité à commettre une nouvelle infraction du même genre que les précédentes la veille de l’audience de jugement, en s’en prenant à un individu malade, afin de tenter d’obtenir un retrait de plainte pour faire apparaître sa situation plus favorable. Son comportement est égoïste et cruel. De plus, G.________ n’a exprimé aucun remord et sa prise de conscience est inexistante, comme en témoignent notamment ses déclarations en audience d’appel, lors de laquelle il a minimisé, voire banalisé, son comportement. Le concours d’infractions sera également pris en compte. A décharge, on retiendra que G.________ n’a pas commis de nouveaux actes pénalement répréhensibles depuis décembre 2011. La tentative atténue également la peine. Le casier judiciaire vierge de l’intéressé a quant à lui un effet neutre sur la quotité de la peine. Au regard de ce qui précède, vérifiée d’office, la quotité de la peine de 360 jours peut être tenue pour adéquate, quand bien même elle paraît plutôt clémente. La détention provisoire de 22 jours subie en 2010 sera déduite. Il est vrai que l’appelant, comme il le relève, est un délinquant primaire et qu’il n’a pas récidivé depuis le mois de décembre 2011. Cependant, celui-ci perd de vue qu’il s’est, comme on l’a vu, en particulier rendu coupable de contrainte au préjudice de sa victime d’une manière odieuse pour tenter d’obtenir un retrait de plainte juste avant l’audience devant le tribunal de première instance, lors de laquelle il devait être jugé pour les premiers faits. A cette occasion, il avait en effet fait massivement pression sur elle, à l’aide de quatre individus, et l’avait encore menacée alors qu’elle était gravement atteinte dans sa santé. Par ce comportement, l’appelant a démontré sa détermination criminelle et a agi d’une façon similaire aux infractions qu’il avait commises précédemment. Il existe ainsi des motifs de prévention spéciale pour justifier une peine privative de liberté. Par ailleurs, le prononcé d’une peine pécuniaire dans le cas d’espèce ne serait pas suffisamment dissuasive, cela d’autant que l’appelant n’a pas montré de réelle prise de conscience et que sa volonté criminelle était particulièrement intense. Partant, seule une peine privative de liberté peut en l’espèce être prononcée.</w:t>
      </w:r>
    </w:p>
    <w:p>
      <w:r>
        <w:rPr>
          <w:b/>
        </w:rPr>
        <w:t>E. 4</w:t>
      </w:r>
    </w:p>
    <w:p>
      <w:r>
        <w:t>L’appelant requiert l’octroi d’un sursis complet.</w:t>
      </w:r>
    </w:p>
    <w:p>
      <w:r>
        <w:rPr>
          <w:b/>
        </w:rPr>
        <w:t>E. 4.1</w:t>
      </w:r>
    </w:p>
    <w:p>
      <w:r>
        <w:t>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 qu’en présence d’un pronostic défavorable (ATF 134 IV 1 consid.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Aux termes de l’art. 43 al. 1 CP, le juge peut suspendre partiellement l’exécution d’une peine pécuniaire, d’un travail d’intérêt général ou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 cf. aussi TF 6B_664/2007 du 18 janvier 2008 consid. 3.2.1 ; 6B_353/2008 du 30 mai 2008 consid. 2.3). Le sursis partiel n’est ainsi pas envisageable en cas de récidive au sens de l’art. 42 al. 2 CP (Dupuis et al., Petit commentaire du Code pénal, Bâle 2012, n. 7a ad art. 43 CP ; TF 6B_492/2008 du 19 mai 2009, non publié aux ATF 135 IV 152, consid. 3.1). Si le juge suspend totalement ou partiellement l’exécution de la peine, il impartit au condamné un délai d’épreuve de deux à cinq ans (art. 44 al. 1 CP). L’ampleur du délai d’épreuve dépend de l’intensité du risque de récidive (Dupuis et al., op. cit., n. 2 ad art. 44 CP).</w:t>
      </w:r>
    </w:p>
    <w:p>
      <w:r>
        <w:rPr>
          <w:b/>
        </w:rPr>
        <w:t>E. 4.2</w:t>
      </w:r>
    </w:p>
    <w:p>
      <w:r>
        <w:t>En l’espèce, avec l’appelant, il y a lieu de constater que l’argumentation des premiers juges sur la question du sursis n’est pas adéquate. Ceux-ci ne pouvaient en effet pas considérer que le pronostic concernant le comportement futur de G.________ n’était pas défavorable et prononcer un sursis partiel. Cependant, dans son résultat, l’octroi d’un sursis partiel ne prête pas le flanc à la critique. En effet, nonobstant l’écoulement du temps et l’absence d’antécédent, il convient de retenir que le pronostic est très mitigé, compte tenu de la récidive en cours d’enquête, de la mauvaise impression générale faite par l’appelant et de son attitude, traduisant une absence de prise de conscience. Ainsi, la Cour de céans est d’avis que seule l’exécution d’une partie de la peine privative de liberté pourra détourner le prévenu de nouveaux agissements délictueux. Pour le reste, les excuses présentées par l’appelant en juillet 2010 ne sont pas déterminantes dès lors qu’elles datent d'avant la commission des seconds faits. Elles paraissent de toute manière de circonstance. En outre, la situation socio-professionnelle de G.________ ne sera pas péjorée en cas d’octroi du régime de la semi-détention ou des arrêts domiciliaires. La part ferme de la peine, arrêtée à six mois par les premiers juges, est adéquate et doit être confirmée, dans la mesure où elle tient compte de la faute de l’auteur de façon appropriée. Le délai d’épreuve de trois ans n’est pas contesté et sera également confirmé.</w:t>
      </w:r>
    </w:p>
    <w:p>
      <w:r>
        <w:rPr>
          <w:b/>
        </w:rPr>
        <w:t>E. 5</w:t>
      </w:r>
    </w:p>
    <w:p>
      <w:r>
        <w:t>En définitive, l’appel doit être rejeté et le jugement entrepris confirmé. Selon la liste d’opérations produite par Me Fabien Mingard, et dont il n’y a pas lieu de s’écarter, une indemnité pour la procédure d’appel d’un montant de 1'062 fr. 70, TVA et débours inclus, sera allouée au défenseur d’office de G.________. Vu l’issue de la cause, les frais de la procédure d’appel, constitués en l’espèce de l’émolument de jugement, par 1’610 fr. (art. 21 al. 1 TFIP [Tarif des frais de procédure et indemnités en matière pénale du 28 septembre 2010 ; RSV 312.03.1]), et de l’indemnité allouée à son défenseur d’office, par 1'062 fr. 70, doivent être intégralement mis à la charge de G.________. Ce dernier ne sera cependant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