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43 vom 28. September 2015</w:t>
      </w:r>
    </w:p>
    <w:p>
      <w:r>
        <w:t>VD Tribunal cantonal, 2015-09-28, FR</w:t>
      </w:r>
    </w:p>
    <w:p>
      <w:r>
        <w:rPr>
          <w:b/>
        </w:rPr>
        <w:t xml:space="preserve">Quelle: </w:t>
      </w:r>
      <w:r>
        <w:t>https://mcp.opencaselaw.ch/entscheid/vd_findinfo_Jug___2017___43</w:t>
      </w:r>
    </w:p>
    <w:p>
      <w:r>
        <w:t>FR: VD_FINDINFO Jug / 2017 / 43 du 28 septembre 2015</w:t>
      </w:r>
    </w:p>
    <w:p>
      <w:r>
        <w:t>IT: VD_FINDINFO Jug / 2017 / 43 del 28 settembre 2015</w:t>
      </w:r>
    </w:p>
    <w:p>
      <w:pPr>
        <w:pStyle w:val="Heading2"/>
      </w:pPr>
      <w:r>
        <w:t>Regeste</w:t>
      </w:r>
    </w:p>
    <w:p>
      <w:r>
        <w:t>RESPONSABILITÉ RESTREINTE{DROIT PÉNAL}, ALCOOLISME, MISE EN DANGER DE LA VIE D'AUTRUI{ART. 129 CP}, SURSIS PARTIEL À L'EXÉCUTION DE LA PEINE, INFRACTIONS CONTRE LE DOMAINE SECRET | 123 ch. 1 CP, 123 ch. 2 al. 3 CP, 126 al. 2 let. b CP, 129 CP, 177 al. 1 CP, 179 CP, 180 al. 2 let. a CP, 19 al. 2 CP, 190 al. 1 CP, 22 ad 190 CP, 251 ch. 1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et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fait grief aux premiers juges d’avoir considéré que l’infraction de mise en danger de la vie d’autrui était réalisée. Il conteste les faits, faisant valoir que le récit de l’épisode par X.________ aurait dû susciter un doute raisonnable parce que la plaignante ne serait pas crédible et se serait contredite au fil de ses auditions.</w:t>
      </w:r>
    </w:p>
    <w:p>
      <w:r>
        <w:rPr>
          <w:b/>
        </w:rPr>
        <w:t>E. 3.2</w:t>
      </w:r>
    </w:p>
    <w:p>
      <w:r>
        <w:t>A la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En l’occurrence, confrontés à la version accusatoire de X.________ mettant en cause W.________ pour s’être comporté envers elle en tyran domestique alcoolique au long cours, la battant et la violant, la dépouillant de l’argent qu’elle gagnait, la surveillant, l’accusant sans motif d’adultère, l’insultant, la menaçant et la terrorisant, et la version du prévenu niant tout en bloc et accusant de mentir ceux qui l’accusaient, les premiers Juges ont considéré la plaignante comme crédible alors que le prévenu ne l’était pas (jugement attaqué, p. 24 et 25). Pour sa part, la Cour d’appel constate que la violence domestique et conjugale de W.________, telle que dénoncée par la victime, est corroborée par des témoins qui ont confirmé avoir entendu des cris violents, des cris de douleur ainsi que des bruits de coups provenant de l’appartement des époux [...], précisant que c’est principalement X.________ qui criait et que le lendemain de ces épisodes, elle portait des lunettes (jugement attaqué, p. 13). Le témoin [...], également entendu en première instance, a confirmé avoir vu la victime porter des lunettes et l’a entendue se plaindre des coups qu’elle avait reçus. Enfin, les témoins entendus lors des interventions de police décrivent également le comportement violent de W.________ (P. 5). A cela s’ajoute l’audition de la fille des parties, [...], qui a confirmé les déclarations de sa mère concernant les violences subies et leurs fréquences. [...] a également confirmé avoir été le témoin auditif des violences sexuelles infligées par l’appelant à son épouse (PV aud. 3 p. 4 R10). Il n’y a pas lieu de remettre en cause les déclarations de ce témoin, tant il est vrai qu’il est resté mesuré, sachant décrire W.________ comme un bon père lorsqu’il n’était pas sous l’emprise de l’alcool : « Mon papa est quelqu’un de très bien, mais ce qui a tout gâché c’est l’alcool » (PV aud. 3 p. 3 R7). Enfin, comme le relèvent les premiers juges, les épisodes décrits sont différents, notamment ceux du Portugal, ce qui exclut que mère et fille aient arrangé leurs versions. Les déclarations de X.________ quant aux violences subies, sont objectivées par un certificat médical (P.20). L’examen physique passé par X.________ à l’Hôpital de la Riviera a révélé que cette dernière souffrait notamment de douleurs et de mobilisation douloureuse du coude droit, de douleurs paravertébrales lombaires diffuses et d’un hématome occipital gauche d’environ 5 cm de diamètre. Au-delà de la crédibilité générale de la victime, l’authenticité de l’épisode du couteau sous la gorge ressort du récit précis et détaillé de celle-ci : « A fin 2011, mon mari s’en est pris à moi au moyen d’un couteau. J’étais dans mon lit. Il est venu vers moi. Il a posé la lame du couteau contre ma gorge en me disant que je devais lui dire où était mon amant sinon il me tuerait. La lame était posée contre ma peau. C’était un petit couteau de cuisine. Je lui ai dit que je n’avais pas d’amant. Je l’ai supplié en pleurant de ne pas me tuer et de réfléchir à ce qu’il était en train de faire. Il s’est finalement calmé. Cela a duré environ cinq minutes. Je n’ai pas été blessée par la lame » (PV aud. 4 pp. 2 et 3). A ces déclarations s’ajoutent celles faites durant les débats de première instance : « S’agissant du couteau, il s’agissait d’un couteau de cuisine avec un manche noir. La lame est assez fine et d’environ 8 cm. Il me l’a posée directement sur le cou ». C’est par peur et parce qu’elle était menacée qu’elle n’a pas dénoncé ces faits auparavant (jugement attaqué, p. 7). Plusieurs autres faits corroborent la réalité de cet épisode. En effet, l’appelant a été décrit par sa femme et sa fille comme un maniaque des couteaux. La victime a ainsi déclaré : « mon mari est un obsédé des couteaux qu’il adore manipuler » (PV aud. 1 p. 3 R7) ; « Lors d’un séjour en Suisse à fin 2008, mon mari m’a frappée. Je me suis réfugiée chez une amie. Il est venu chez elle et m’a menacée au moyen d’un couteau » (PV aud. 4 p. 2 l. 59). La fille du prévenu a également exposé que « Dans mon enfance j’ai assisté à des choses horribles, encore pire que ce qui arrivait maintenant. Par exemple, quand j’avais environ 13 ans, mes frères et moi avons ouvert la porte de leur chambre et nous avons vu mon père tenir un couteau sous la gorge de ma mère. Il dormait avec un couteau sous l’oreiller » (PV aud. 3 p. 4 R 10). Enfin, lors d’une intervention de police, le 20 décembre 2008 à l’encontre de l’appelant, celui-ci a laissé s’échapper de sa manche un petit couteau de cuisine. En définitive, les faits ne suscitent aucun doute et le moyen pris de leur constatation erronée doit être rejeté.</w:t>
      </w:r>
    </w:p>
    <w:p>
      <w:r>
        <w:rPr>
          <w:b/>
        </w:rPr>
        <w:t>E. 4.1</w:t>
      </w:r>
    </w:p>
    <w:p>
      <w:r>
        <w:t>L’appelant soutient que les circonstances relatées par la victime sont trop imprécises quant à l’emplacement du couteau, le tranchant de sa lame ou encore la forme de sa pointe, pour retenir un risque imminent de blessure mortelle. Il conteste s’être rendu coupable de mise en danger de la vie d’autrui.</w:t>
      </w:r>
    </w:p>
    <w:p>
      <w:r>
        <w:rPr>
          <w:b/>
        </w:rPr>
        <w:t>E. 4.2</w:t>
      </w:r>
    </w:p>
    <w:p>
      <w:r>
        <w:t>L’art. 129 CP réprime le comportement de celui qui, sans scrupule, aura mis autrui en danger de mort imminent. Sur la plan objectif, cette infraction suppose que l’auteur ait causé un danger de mort imminent pour autrui, c’est-à-dire qu’il ait adopté un comportement propre à provoquer un tel effet. Le comportement incriminé, qui n’est pas décrit par la loi, se caractérise par ses effets. Il s’agit de tout comportement propre à mettre autrui en danger de mort imminent (Corboz, Les infractions en droit suisse, vol. I, Berne 2002, n. 6 ad art. 129 CP p. 183 ; Stratenwerth, Schweizeriches Strafrecht, Partie spéciale I, 5 e édition, Berne 1995, §4 n°7 ; Rehberg/Schmid/Donatsch, Strafrecht III, 8 e éd., Zurich 2003, p. 56 ; Schubarth, Kommentar zum schweizerischen Strafrecht, vol. I, Berne 1982, art. 129 CP n° 11 ; Peter Aebersold, Basler Kommentar, Strafgesetzbuch II, art. 129 CP n° 7). La notion de danger imminent implique d’abord un danger concret, c’est-à-dire la probabilité sérieuse que, dans le cours ordinaire des choses, le bien juridique protégé soit lésé, donc que le danger de mort se réalise, au point qu’il faut être dénué de scrupules pour négliger sciemment d’en tenir compte. Il faut en outre que ce danger ait été imminent, c’est-à-dire qu’il ait présenté un caractère d’immédiateté non pas tant en raison de l’enchaînement chronologique des circonstances que du lien de connexité direct unissant ce danger et le comportement de l’auteur (ATF 121 IV 67 consid. 2b/aa p. 70 et la jurisprudence citée). La notion de mise en danger de mort imminent de l’art. 129 CP doit être interprétée de manière plus large que celle qui qualifie le degré le plus grave du brigandage (art. 139 ch. 3 aCP ; art. 140 ch. 4 CP), notamment parce qu’il ne s’agit pas seulement d’un élément aggravant mais d’un élément constitutif de l’infraction réprimée par cette disposition et parce que la peine menace prévue est moins lourde que celle sanctionnant le degré le plus grave du brigandage (ATF 122 IV 67 consid. 2b/bb et cc et 2d p. 71 s). Conformément à la jurisprudence (ATF 117 IV 427 ; ATF 114 IV 8, ATF 102 IV 18 ; TF 6S.16/2003 du 13 février 2004 ; arrêt de la Cour de cassation vaudoise du 21 mars 1994, JdT 1997 IV 29), le maniement de couteaux, cutter, armes acérées ou encore de verre prisé contre la gorge d’une personne présente une dangerosité imminente.</w:t>
      </w:r>
    </w:p>
    <w:p>
      <w:r>
        <w:rPr>
          <w:b/>
        </w:rPr>
        <w:t>E. 4.3</w:t>
      </w:r>
    </w:p>
    <w:p>
      <w:r>
        <w:t>En l’occurrence, durant cinq minutes environ, l’auteur, sous l’emprise de l’alcool, en proie à une crise de jalousie alimentant sa fureur, a exigé, sous peine de mort, de connaître le nom du prétendu amant de sa femme tout en occupant une position dominante à l’égard de celle-ci couchée sur le dos et en lui pressant la lame d’un couteau de cuisine sur la gorge, la force de l’homme renforcée de sa masse, voire d’un mouvement de cisaillement, pouvant à tout moment faire pénétrer la lame dans les chairs du cou. L’usage d’un couteau de cuisine consiste à découper des aliments dont notamment de la viande. A l’évidence, l’état de terreur de la victime conjugué à la rage féroce de l’auteur alcoolisé qui ne se contrôlait plus durant une scène prolongée était de nature à causer à tout moment des gesticulations et des sursauts entraînant un égorgement fatal sans qu’il soit nécessaire de déterminer si la lame était particulièrement tranchante ou sa pointe spécialement acérée. L’existence d’un danger de mort imminent est donc réalisée et le grief doit être rejeté.</w:t>
      </w:r>
    </w:p>
    <w:p>
      <w:r>
        <w:rPr>
          <w:b/>
        </w:rPr>
        <w:t>E. 4.4</w:t>
      </w:r>
    </w:p>
    <w:p>
      <w:r>
        <w:t>Du point de vue subjectif, dans l’infraction de mise en danger de la vie, il faut que l’auteur ait agi intentionnellement et que l’acte ait été commis sans scrupule. Un acte est commis sans scrupule au sens de l'art. 129 CP lorsque, compte tenu des moyens utilisés, des mobiles de l'auteur et des autres circonstances, parmi lesquelles figure également l'état de l'auteur, il apparaît comme contraire aux principes généralement admis des bonnes moeurs et de la morale. Il est sans importance que l'auteur ait eu conscience de l'atteinte portée par son comportement aux valeurs éthiques ou qu'il ait eu la possibilité de se conformer à celles-ci; il suffit qu'il ait connu les circonstances à cause desquelles son comportement apparaît comme dénué de scrupule au regard des principes généraux de la morale et des bonnes mœurs (ATF 114 IV 103 consid. 2a p. 108). L’auteur doit avoir conscience du danger de mort imminent pour autrui et adopter volontairement un comportement qui le crée (ATF 121 IV 67 consid. 2d p. 75 in fine ). En revanche, il ne veut pas, même à titre éventuel, la réalisation du risque (ATF 107 IV 163 consid. 3 p. 165). Dans le cas particulier, l’absence de scrupule est manifeste tant le comportement de W.________ est dépourvu de justification et ne répond pas à un but au moins partiellement légitime. Contrairement à ce que plaide l’appelant, l’abus d’alcool n’a pas pour effet d’anéantir la gravité de l’acte. Mal fondé, le moyen doit être rejeté.</w:t>
      </w:r>
    </w:p>
    <w:p>
      <w:r>
        <w:rPr>
          <w:b/>
        </w:rPr>
        <w:t>E. 4.5</w:t>
      </w:r>
    </w:p>
    <w:p>
      <w:r>
        <w:t>L’appelant conteste ensuite avoir, durant la période du 29 octobre au 1 er novembre 2012, pris des mains du facteur le courrier destiné à son épouse et à sa fille, l’avoir ouvert, en avoir pris connaissance, puis de s’en être débarrassé en le jetant dans une poubelle. Il soutient que c’est à tort que les premiers juges ont considéré que le vol du courrier de l’épouse réalisait l’infraction de violation de secrets privés au sens de l’art. 179 CP, ces faits n’étant pas prouvés.</w:t>
      </w:r>
    </w:p>
    <w:p>
      <w:r>
        <w:rPr>
          <w:b/>
        </w:rPr>
        <w:t>E. 4.6</w:t>
      </w:r>
    </w:p>
    <w:p>
      <w:r>
        <w:t>Selon l’art. 179 CP, celui qui, sans en avoir le droit, aura ouvert un pli ou colis fermé pour prendre connaissance de son contenu, celui qui, ayant pris connaissance de certains faits en ouvrant un pli ou colis fermé qui ne lui était pas destiné, aura divulgué ces faits ou en aura tiré profit, sera, sur plainte, puni d’une amende.</w:t>
      </w:r>
    </w:p>
    <w:p>
      <w:r>
        <w:rPr>
          <w:b/>
        </w:rPr>
        <w:t>E. 4.7</w:t>
      </w:r>
    </w:p>
    <w:p>
      <w:r>
        <w:t>Dans sa plainte pénale du 1 er novembre 2012, l’intimée a relaté que depuis 3 ou 4 jours, son mari venait vers les 11h00 devant son immeuble, attendait le facteur, se faisait remettre le courrier la concernant, ainsi que celui concernant sa fille, en prenait connaissance et le jetait à la poubelle (P. 11). Ces fait ont été confirmés par la plaignante, dans son audition X.________ a encore précisé que son mari déchirait le courrier après l’avoir lu et qu’il la surveillait et l’espionnait à proximité du domicile conjugal en se cachant derrière un mur et en se juchant sur un escabeau (PV aud. 4 p. 3). Là encore, la déposition détaillée, répétée de la victime dont la crédibilité générale ne fait aucun doute est authentique et les dénégations mensongères de l’appelant n’y changent rien. Pour le surplus, les éléments constitutifs de l’art. 179 CP sont réalisés. Partant, ce moyen doit être rejeté.</w:t>
      </w:r>
    </w:p>
    <w:p>
      <w:r>
        <w:rPr>
          <w:b/>
        </w:rPr>
        <w:t>E. 5</w:t>
      </w:r>
    </w:p>
    <w:p>
      <w:r>
        <w:t>L’appelant conteste ensuite avoir enfreint l’art. 292 CP. Il fait valoir que sa condamnation repose uniquement sur les déclarations de sa femme, que la police ne l’avait pas trouvé sur les lieux à l’époque et que les preuves seraient insuffisantes pour le condamner. Comme relevé à plusieurs reprises, l’intimée est crédible sur un plan général, en raison notamment de la précision répétée de son récit d’épisodes particuliers, dont celui-ci. L’appelant quant à lui n’a aucune crédibilité, persistant dans ses dénégations malgré les pièces et témoignages au dossier. Mal fondé, le grief doit être rejeté.</w:t>
      </w:r>
    </w:p>
    <w:p>
      <w:r>
        <w:rPr>
          <w:b/>
        </w:rPr>
        <w:t>E. 6.1.1</w:t>
      </w:r>
    </w:p>
    <w:p>
      <w:r>
        <w:t>W.________ a été condamné à une peine privative de liberté de 30 mois dont 12 mois fermes et le solde de 18 mois avec sursis pendant 4 ans, à une peine pécuniaire de 45 jours-amende à 10 fr. avec sursis durant 4 ans, le sursis étant subordonné à la poursuite du traitement contre l’addiction à l’alcool en cours, et à une amende de 500 fr. et peine de substitution de 5 jours. S’il ne conteste ni l’amende, ni la peine pécuniaire, il se plaint en revanche de la quotité de la peine privative de liberté qu’il juge beaucoup trop sévère. Il fait ainsi plaider qu’au vu de la nouvelle situation conjugale, le divorce étant sur le point d’être prononcé, de la durée écoulée depuis les infractions retenues et de sa responsabilité restreinte, une peine privative de liberté de 15 mois, assortie du sursis constitue la peine maximale qui pourrait lui être infligée, ce sursis étant conditionné à une règle de conduite sous la forme de la poursuite du traitement contre l’addiction.</w:t>
      </w:r>
    </w:p>
    <w:p>
      <w:r>
        <w:rPr>
          <w:b/>
        </w:rPr>
        <w:t>E. 6.1.2</w:t>
      </w:r>
    </w:p>
    <w:p>
      <w:r>
        <w:t>Le Procureur conclut quant à lui au rejet de l’appel et à ce qu’un traitement ambulatoire contre l’addiction à l’alcool au sens de l’art. 63 CP soit ordonné.</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6.2.3</w:t>
      </w:r>
    </w:p>
    <w:p>
      <w:r>
        <w:t>Selon la jurisprudence, sursis et mesures sont incompatibles.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(ATF 135 IV 180 consid. 2.3; ATF 134 IV 1 consid. 3.1; TF 6B_498/2011 du 23 janvier 2012 consid. 1.4; TF 6B_342/2010 du 8 juillet 2010 consid. 3.5; TF 6B_1048/2010 du 6 juin 2011 consid. 6.2; TF 6B_268/2008 du 2 mars 2009 consid. 6). Cette incompatibilité s'applique également en cas de sursis partiel au sens de l'art. 43 CP (TF 6B_141/2009 du 24 septembre 2009 consid. 1; Schwarzenegger/Hug/Jositsch, Strafrecht II, Strafen und Massnahmen, 8 e éd., 2007, p. 132). En effet, les conditions du sursis partiel sont les mêmes; il faut en particulier qu'un pronostic défavorable ne puisse pas être posé (Dupuis et al., Petit commentaire du Code pénal, 2012, n° 6 ad art. 43 CP).</w:t>
      </w:r>
    </w:p>
    <w:p>
      <w:r>
        <w:rPr>
          <w:b/>
        </w:rPr>
        <w:t>E. 6.2.4</w:t>
      </w:r>
    </w:p>
    <w:p>
      <w:r>
        <w:t>En l’occurrence, la culpabilité de W.________ est lourde. Il s’en est pris à l’intégrité corporelle et sexuelle de son épouse durant plusieurs années, faisant de cette dernière un simple objet domestique soumis à son plaisir. Il persiste à nier ses actes, malgré les témoignages et le certificat médical produit. A décharge, on retiendra toutefois, comme les premiers juges, la situation personnelle de l’appelant et notamment son alcoolisme. Au vu de l’expertise psychiatrique ordonnée en appel, il faut encore tenir compte d’une diminution légère de sa responsabilité pénale. Vu ce qui précède, la peine prononcée par les premiers juges était manifestement inférieure à celle qui aurait dû être prononcée. C’est ainsi une peine privative de liberté de 36 mois qui aurait dû être infligée à W.________. Toutefois, en raison de la diminution légère de la responsabilité pénale, cette peine sera réduite à 30 mois. Elle sera prononcée avec sursis partiel, l’appelant en remplissant les conditions. Le délai d’épreuve sera de quatre ans et subordonné, comme règle de conduite, à la poursuite du traitement en cours contre l’addiction à l’alcool, le prononcé d’une mesure étant exclu (cf. consid. 6.2.1 supra).</w:t>
      </w:r>
    </w:p>
    <w:p>
      <w:r>
        <w:rPr>
          <w:b/>
        </w:rPr>
        <w:t>E. 7</w:t>
      </w:r>
    </w:p>
    <w:p>
      <w:r>
        <w:t>L’appelant conteste encore devoir verser à son épouse une indemnité pour tort moral. Il soutient que cette dernière aurait pu minimiser passablement le dommage, voir l’éviter si elle l’avait quitté dès les premières violences ou si elle lui avait posé des règles strictes. En l’occurrence les 15'000 fr. de réparation morale octroyés par les premiers juges ne prêtent pas le flanc à la critique. En effet, contrairement à ce que tente de soutenir l’appelant, le tort moral ne saurait être réduit parce que l’épouse ne s’est pas plainte plus tôt, car une victime qui garde le silence ne commet aucune faute concomitante, ce d’autant plus qu’elle était menacée par l’appelant et qu’elle vivait dans un climat de terreur et de harcèlement quasi permanent. Mal fondé, ce moyen doit être rejeté.</w:t>
      </w:r>
    </w:p>
    <w:p>
      <w:r>
        <w:rPr>
          <w:b/>
        </w:rPr>
        <w:t>E. 8</w:t>
      </w:r>
    </w:p>
    <w:p>
      <w:r>
        <w:t>En définitive, l’appel sera très partiellement admis et le jugement du 28 septembre 2015 réformé à son chiffre III en ce sens que le sursis prononcé sera subordonné à la poursuite du traitement contre l’addiction à l’alcool en cours. Il sera confirmé pour le surplus. Sur la base de la liste des opérations produite par Me Jérôme Campart, conseil d’office de de X.________ (P. 84), et dont il n’y a pas lieu de s’écarter, une indemnité pour la procédure d'appel d'un montant de 1'622 fr. 15, TVA et débours inclus, lui sera allouée. Elle sera mise, par trois-quart à la charge de l’appelant, le solde étant laissé à la charge de l’Etat. S’agissant de l’indemnité réclamée par Me Kathrin Gruber, on précisera que celle-ci a produit une liste des opérations faisant état de 20h30 d’activité, audience non-comprise. Compte tenu de la nature de la cause, de la connaissance du dossier acquise en première instance et des opérations nécessaires pour la défense des intérêts de son client, le nombre d’heures annoncé est un peu trop élevé et doit être réduit. Il sera ainsi retranché : - 55 minutes du poste « cartes de compliments », qui correspond à du travail de secrétariat; - 45 minutes du poste « recherches juridiques et étude du dossier », qui comptait 145 minutes, quantité excessive ; - 45 minutes du poste « actes de procédure (appel demande compl. expertise)", qui comptait 690 minutes. C’est ainsi une indemnité de 3'682 fr. 80, correspondant à 18h00 de travail, une vacation, 50 fr. de débours et la TVA, qui doit être allouée à Me Kathrin Gruber pour la procédure d’appel. Vu l'issue de la cause, les frais de la procédure d'appel, par 14’174 fr. 95, constitués en l’espèce des émoluments d’arrêt du présent jugement, par 2’270 fr. de l’ordonnance de mise en œuvre de l’expertise psychiatrique du 9 novembre 2015, par 200 fr., (art. 21 al. 1 et 2 TFIP [Tarif des frais de procédure et indemnités en matière pénale du 28 septembre 2010; RSV 312.03.1]), des frais de dite expertise, par 6'400 fr., ainsi que des indemnités allouées au défenseur d'office de l’appelant et au conseil d'office de la plaignante, sont mis à la charge de W.________ à concurrence de trois-quarts, le solde étant laissé à la charge de l’Etat. W.________ ne sera tenu de rembourser à l’Etat les trois-quarts des montants des indemnités allouées à son défenseur d’office et au conseil d'office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