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2017 / 429 vom 3. Februar 2016</w:t>
      </w:r>
    </w:p>
    <w:p>
      <w:r>
        <w:t>VD Tribunal cantonal, 2016-02-03, FR</w:t>
      </w:r>
    </w:p>
    <w:p>
      <w:r>
        <w:rPr>
          <w:b/>
        </w:rPr>
        <w:t xml:space="preserve">Quelle: </w:t>
      </w:r>
      <w:r>
        <w:t>https://mcp.opencaselaw.ch/entscheid/vd_findinfo_Jug___2017___429</w:t>
      </w:r>
    </w:p>
    <w:p>
      <w:r>
        <w:t>FR: VD_FINDINFO Jug / 2017 / 429 du 3 février 2016</w:t>
      </w:r>
    </w:p>
    <w:p>
      <w:r>
        <w:t>IT: VD_FINDINFO Jug / 2017 / 429 del 3 febbraio 2016</w:t>
      </w:r>
    </w:p>
    <w:p>
      <w:pPr>
        <w:pStyle w:val="Heading2"/>
      </w:pPr>
      <w:r>
        <w:t>Regeste</w:t>
      </w:r>
    </w:p>
    <w:p>
      <w:r>
        <w:t>DROIT PÉNAL DES MINEURS, IMPUTATION, PLACEMENT D'ENFANTS DANS UNE INSTITUTION, DÉTENTION PROVISOIRE | 32 DPMin, 107 al. 2 LTF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résulte de ce qui précède que l’appel déposé par D.________ doit être admis et le jugement attaqué réformé dans le sens des considérants. Dans ses jugements des 12 mai 2016 et 7 mars 2017, annulés par le Tribunal fédéral, la Cour de céans avait alloué des indemnités d’office de 1'244 fr. 15 et 493 fr. 55. Ces indemnités ont déjà été versées à Me Mathias Keller. S’agissant de la procédure postérieure à l’arrêt du 21 septembre 2017 du Tribunal fédéral, l’avocat a déposé une liste d’opérations faisant état d’un montant de 384 fr. 50. Ce montant est adéquat et peut lui être alloué. Ainsi, l’indemnité de défenseur d’office qui doit être allouée à Me Mathias Keller est fixée à 2'122 fr. 20, étant précisé que le montant de 1'737 fr. 70 lui a déjà été versé. Les frais de la procédure d’appel, constitués de l’émolument du jugement, par 495 fr. (art. 21 al. 1 et 3 TFIP [Tarif des frais de procédure et indemnités en matière pénale du 28 septembre 2010 ; RSV 312.03.1]), ainsi que de l’indemnité de défense d’office, par 2'122 fr. 20, seront laissés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