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42 vom 6. Juli 2016</w:t>
      </w:r>
    </w:p>
    <w:p>
      <w:r>
        <w:t>VD Tribunal cantonal, 2016-07-06, FR</w:t>
      </w:r>
    </w:p>
    <w:p>
      <w:r>
        <w:rPr>
          <w:b/>
        </w:rPr>
        <w:t xml:space="preserve">Quelle: </w:t>
      </w:r>
      <w:r>
        <w:t>https://mcp.opencaselaw.ch/entscheid/vd_findinfo_Jug___2017___42</w:t>
      </w:r>
    </w:p>
    <w:p>
      <w:r>
        <w:t>FR: VD_FINDINFO Jug / 2017 / 42 du 6 juillet 2016</w:t>
      </w:r>
    </w:p>
    <w:p>
      <w:r>
        <w:t>IT: VD_FINDINFO Jug / 2017 / 42 del 6 luglio 2016</w:t>
      </w:r>
    </w:p>
    <w:p>
      <w:pPr>
        <w:pStyle w:val="Heading2"/>
      </w:pPr>
      <w:r>
        <w:t>Regeste</w:t>
      </w:r>
    </w:p>
    <w:p>
      <w:r>
        <w:t>PEINE PRIVATIVE DE LIBERTÉ, PRÉVENTION GÉNÉRALE ET SPÉCIALE, EXÉCUTABILITÉ, TRAVAIL D'INTÉRÊT GÉNÉRAL, PEINE PÉCUNIAIRE | 41 al. 1 CP, 404 al. 2 CPP (CH)</w:t>
      </w:r>
    </w:p>
    <w:p>
      <w:pPr>
        <w:pStyle w:val="Heading2"/>
      </w:pPr>
      <w:r>
        <w:t>Erwägungen</w:t>
      </w:r>
    </w:p>
    <w:p>
      <w:r>
        <w:rPr>
          <w:b/>
        </w:rPr>
        <w:t>E. 1</w:t>
      </w:r>
    </w:p>
    <w:p>
      <w:r>
        <w:t>CPP.</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w:t>
      </w:r>
    </w:p>
    <w:p>
      <w:r>
        <w:rPr>
          <w:b/>
        </w:rPr>
        <w:t>E. 1.2</w:t>
      </w:r>
    </w:p>
    <w:p>
      <w:r>
        <w:t>En l’occurrence, le Ministère public a reçu le dispositif du jugement de première instance le 6 juillet 2016, et le délai d’annonce de dix jours devait échoir le 18 juillet 2016, compte tenu du fait que le 17 juillet 2016 tombait sur un dimanche (art. 90 al. 2 CPP). L’annonce du Ministère public qui date du 18 juillet 2016 a été reçue par l’autorité de première instance le 19 juillet 2016 (Procès-verbal des opérations, p. 5). Elle a manifestement été postée la veille, si bien que le délai d’annonce a été respecté (art. 91 al. 2 CPP). La déclaration d’appel a également été déposée en temps utile, et ce point n’est pas discuté. Interjeté dans les formes et délais légaux contre un jugement d’un tribunal de première instance ayant clos la procédure (art. 398 al. 1 CPP), l'appel du Ministère public est dès lors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3.1</w:t>
      </w:r>
    </w:p>
    <w:p>
      <w:r>
        <w:t>L’intimé entend remettre en cause l’élément subjectif de l’infraction prévue par l’art. 117 al. 2 LEtr (Loi fédérale sur les étrangers du 16 décembre 2005 ; RS 142.20), en faisant valoir l’absence d’intention délictueuse. Comme devant le Tribunal de police, il allègue qu’il ignorait que l’un des employés en cause n’avait pas la nationalité slovène et qu’il n’était donc pas au bénéfice des autorisations nécessaires (jgt, pp. 8 et 10). L’intimé demande à la Cour de céans d’examiner ce moyen en invoquant l’art. 404 al. 2 CPP.</w:t>
      </w:r>
    </w:p>
    <w:p>
      <w:r>
        <w:rPr>
          <w:b/>
        </w:rPr>
        <w:t>E. 3.2.1</w:t>
      </w:r>
    </w:p>
    <w:p>
      <w:r>
        <w:t>Aux termes de l'art. 404 CPP, la juridiction d'appel n'examine que les points attaqués du jugement de première instance (al. 1). Elle peut toutefois examiner en faveur du prévenu des points du jugement qui ne sont pas attaqués, afin de prévenir des décisions illégales ou inéquitables (al. 2). Cette disposition permet à la juridiction d’appel d’aller au-delà des conclusions des parties dans le sens d’une amélioration de la situation du prévenu. Toutefois, elle doit être appliquée avec retenue, sous peine de vider de sa substance la portée des art. 399 al. 3 et al. 4 et 404 al. 1 CPP. On y recourra en cas de résultat choquant (cf. Kistler Vianin, in Commentaire romand, Code de procédure pénale suisse, 2011, n° 2 et 4 ad art. 404 CPP; Moreillon/Parein-Reymond, Petit commentaire du Code de procédure pénale, 2 ème éd. 2016, n° 5 et 8 ad art. 404 CPP). Selon le Tribunal fédéral, l'autorité d'appel n'a ainsi pas à rechercher si des erreurs dans l'application du droit ont été commises par le juge précédent ou à examiner des questions juridiques qui ne se posent pas à elle (TF 6B_426/2013 du 18 décembre 2013 consid. 1). Lorsqu’il est fait usage de l’art. 404 al. 2 CPP, le droit d’être entendu des parties, y compris celui du ministère public, doit être respecté (TF 6B_634/2012 du 11 avril 2013 consid. 2.3.1).</w:t>
      </w:r>
    </w:p>
    <w:p>
      <w:r>
        <w:rPr>
          <w:b/>
        </w:rPr>
        <w:t>E. 3.2.2</w:t>
      </w:r>
    </w:p>
    <w:p>
      <w:r>
        <w:t>L’art. 117 LEtr prévoit que celui qui emploi, intentionnellement,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w:t>
      </w:r>
    </w:p>
    <w:p>
      <w:r>
        <w:rPr>
          <w:b/>
        </w:rPr>
        <w:t>E. 3.3</w:t>
      </w:r>
    </w:p>
    <w:p>
      <w:r>
        <w:t>En l’espèce, le Ministère public n’a pas contesté la qualification juridique des faits retenue par le premier juge. L’intimé n’a pas non plus déposé un appel joint pour le faire. Quant à l’application d’office de l’art. 404 al. 2 CPP, les conditions n’en sont pas remplies. L’intimé a déjà été condamné six fois pour le même type d’infraction, soit une violation des art. 117 al. 1 et 117 al. 2 LEtr. Dans la présente affaire, le premier juge a retenu de manière convaincante qu’il ne s’est guère soucié de la situation régulière ou non de ses deux employés kosovars. Dès lors, il n’y a rien de choquant à considérer, ainsi que l’a retenu le premier juge, que l’intimé avait agi à tout le moins par dol éventuel (jgt, p. 9 et 10). Le grief d’une application erronée de l’art. 117 al. 2 LEtr  est irrecevable.</w:t>
      </w:r>
    </w:p>
    <w:p>
      <w:r>
        <w:rPr>
          <w:b/>
        </w:rPr>
        <w:t>E. 4</w:t>
      </w:r>
    </w:p>
    <w:p>
      <w:r>
        <w:t>Le Ministère public conteste la nature de la peine retenue par le premier juge qu’il considère comme insuffisante à sanctionner la nouvelle récidive de l’intimé. Il conclut à une peine privative de liberté au sens de l’art. 41 CP d’une quotité de trois mois, assortie d’une peine pécuniaire de 30 jours-amende à 70 fr. le jour, soit la peine qu’il avait prononcée par ordonnance pénale du 10 mars 2016. L’intimé conclut à la condamnation à une peine pécuniaire, subsidiairement à un travail d’intérêt général.</w:t>
      </w:r>
    </w:p>
    <w:p>
      <w:r>
        <w:rPr>
          <w:b/>
        </w:rPr>
        <w:t>E. 4.1</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w:t>
      </w:r>
    </w:p>
    <w:p>
      <w:r>
        <w:rPr>
          <w:b/>
        </w:rPr>
        <w:t>E. 4.1.1</w:t>
      </w:r>
    </w:p>
    <w:p>
      <w:r>
        <w:t>Il faut d'abord que les conditions du sursis à l'exécution de la peine ne soient pas réunies. Il en va ainsi, conformément à l'art. 42 al. 1 CP, lorsqu'une peine ferme paraît nécessaire pour détourner l'auteur d'autres crimes ou délits.</w:t>
      </w:r>
    </w:p>
    <w:p>
      <w:r>
        <w:rPr>
          <w:b/>
        </w:rPr>
        <w:t>E. 4.1.2</w:t>
      </w:r>
    </w:p>
    <w:p>
      <w:r>
        <w:t>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Ces dernières sont donc en principe exclues, sauf lorsqu’il s’agit de garantir à l’Etat l’exercice de son droit de répression (FF 1999 1787 1849 ; TF 6B_709/2013 du 27 janvier 2014 consid. 2). Pour choisir la nature de la peine, le juge doit prendre en considération l'opportunité de la sanction déterminée, ses effets sur l'auteur et son milieu social, ainsi que son efficacité préventive (ATF 134 IV 97 consid. 4 p. 100 ss; TF 6B_709/2013 précité, consid. 2). Interprétant l’art. 41 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Ces motifs permettent d’exclure le prononcé d’une peine pécuniaire, lorsque l’intéressé a démontré l’inutilité d’une telle peine et/ou la volonté de ne pas tenir compte des sanctions prononcées contre lui (TF 6B_316/2014 du 23 juillet 2014 consid. 3.2, in JdT 2014 I 319 ; TF 6B_196/2012 du 24 janvier 2013 consid. 3.3 ; TF 6B_128/2011 du 14 juin 2011 consid. 3.4). Lorsque la peine pécuniaire est exclue pour des motifs de prévention spéciale, il n’y a pas lieu d’examiner la capacité du prévenu à l’exécuter (TF 6B_714/2015 du 28 septembre 2015 consid. 1.4).</w:t>
      </w:r>
    </w:p>
    <w:p>
      <w:r>
        <w:rPr>
          <w:b/>
        </w:rPr>
        <w:t>E. 4.2.1</w:t>
      </w:r>
    </w:p>
    <w:p>
      <w:r>
        <w:t>En l’espèce, le casier judiciaire de l’intimé indique que sur une période de quatre ans, celui-ci a subi six condamnations pour emploi d’étrangers sans autorisation, dont une pour emploi répété d’étrangers sans autorisation. Depuis 2010, ces peines sont prononcées sans sursis, et les deux fois où l’intimé a obtenu un sursis, il a été ultérieurement révoqué. Il apparaît clairement que les sanctions antérieures – et nombreuses – exprimées soit sous la forme de peine pécuniaire, soit sous la forme d’un travail d’intérêt général d’une durée de 120 jours n’ont pas eu l’effet escompté. L’intimé persiste à commettre des infractions à la LEtr. Il n’a manifestement pas pris conscience de ses agissements, et le pronostic ne peut être que défavorable. Les conditions du droit au sursis ne sont dès lors pas réunies.</w:t>
      </w:r>
    </w:p>
    <w:p>
      <w:r>
        <w:rPr>
          <w:b/>
        </w:rPr>
        <w:t>E. 4.2.2</w:t>
      </w:r>
    </w:p>
    <w:p>
      <w:r>
        <w:t>Pour motiver le prononcé d’une peine pécuniaire en lieu et place d’une courte peine privative de liberté, le premier juge a considéré que dans la mesure où la peine pécuniaire était exécutable, il n’y avait pas lieu de prononcer une courte peine privative de liberté. La question n’est pas de savoir si un travail d’intérêt général ou une peine pécuniaire sont exécutables. La Cour de céans conçoit que les deux peines le sont. Elle considère en revanche que les motifs de prévention spéciale commandent actuellement de prononcer une peine plus incisive à l’encontre de l’intimé. Celui-ci a été condamné à plusieurs reprises à des peines pécuniaires, qui ne l’ont pas détourné de la commission des mêmes infractions. Il en est allé de même de la condamnation à un travail d’intérêt général, dont la durée était pourtant conséquente. Par sa multi-récidive spéciale, l’intimé a démontré l’inefficacité de ces peines, de sorte qu’elles ne doivent plus être prononcées à son encontre. En définitive, c’est une courte peine privative de liberté qui sera infligée à W.________.</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5.2</w:t>
      </w:r>
    </w:p>
    <w:p>
      <w:r>
        <w:t>En l’espèce, la Cour de céans fait totalement siennes les considérations du premier juge quant à la fixation de la peine (éléments à charge et à décharge, jgt, p. 10 consid. 3, paragraphes 1 et 2), de sorte qu’elle y renvoie (art. 82 al. 4 CPP ; ATF 141 IV 244). Ces considérations justifient la peine privative de liberté de trois mois requise. Celle-ci doit en outre être assortie d’une peine pécuniaire, conformément à l’art. 117 al. 2 LEtr. Au vu de la culpabilité et de la situation financière de l’intimé, la peine pécuniaire de 30 jours-amende à 70 fr. le jour requise par le Ministère public est adéquate.</w:t>
      </w:r>
    </w:p>
    <w:p>
      <w:r>
        <w:rPr>
          <w:b/>
        </w:rPr>
        <w:t>E. 6</w:t>
      </w:r>
    </w:p>
    <w:p>
      <w:r>
        <w:t>En définitive, l’appel doit être admis, le jugement de première instance modifié dans le sens des considérants qui précédent et confirmé pour le surplus. Vu le sort de l'appel, les frais de la procédure d'appel, par 1’500 francs seront mis intégralement à la charge de W.________, qui a conclu au rejet de l’appel et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