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418 vom 4. September 2017</w:t>
      </w:r>
    </w:p>
    <w:p>
      <w:r>
        <w:t>VD Tribunal cantonal, 2017-09-04, FR</w:t>
      </w:r>
    </w:p>
    <w:p>
      <w:r>
        <w:rPr>
          <w:b/>
        </w:rPr>
        <w:t xml:space="preserve">Quelle: </w:t>
      </w:r>
      <w:r>
        <w:t>https://mcp.opencaselaw.ch/entscheid/vd_findinfo_Jug___2017___418</w:t>
      </w:r>
    </w:p>
    <w:p>
      <w:r>
        <w:t>FR: VD_FINDINFO Jug / 2017 / 418 du 4 septembre 2017</w:t>
      </w:r>
    </w:p>
    <w:p>
      <w:r>
        <w:t>IT: VD_FINDINFO Jug / 2017 / 418 del 4 settembre 2017</w:t>
      </w:r>
    </w:p>
    <w:p>
      <w:pPr>
        <w:pStyle w:val="Heading2"/>
      </w:pPr>
      <w:r>
        <w:t>Regeste</w:t>
      </w:r>
    </w:p>
    <w:p>
      <w:r>
        <w:t>PEINE PRIVATIVE DE LIBERTÉ, PEINE PÉCUNIAIRE, TRAVAIL D'INTÉRÊT GÉNÉRAL, COMMERCE DE STUPÉFIANTS, RÉVOCATION DU SURSIS | 41 al. 1 CP, 42 al. 1 CP</w:t>
      </w:r>
    </w:p>
    <w:p>
      <w:pPr>
        <w:pStyle w:val="Heading2"/>
      </w:pPr>
      <w:r>
        <w:t>Erwägungen</w:t>
      </w:r>
    </w:p>
    <w:p>
      <w:r>
        <w:rPr>
          <w:b/>
        </w:rPr>
        <w:t>E. 1</w:t>
      </w:r>
    </w:p>
    <w:p>
      <w:r>
        <w:t>Interjetés dans les formes et délais légaux, par le prévenu et le Ministère public, contre un jugement d’un tribunal de première instance ayant clos la procédure (art. 398 al. 1 CPP), l’appel principal et l’appel joint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Appel de Y.________</w:t>
      </w:r>
    </w:p>
    <w:p>
      <w:r>
        <w:rPr>
          <w:b/>
        </w:rPr>
        <w:t>E. 3.1</w:t>
      </w:r>
    </w:p>
    <w:p>
      <w:r>
        <w:t>Après retrait de ses conclusions principales (selon ce qui figure sous let. B ci-dessus), l’appelant conclut au prononcé d’une peine pécuniaire de 20 jours-amende à 10 fr. le jour-amende, sous déduction d’un jour de détention provisoire, la peine étant assortie d’un délai d’épreuve de deux ans. Subsidiairement, il conclut au prononcé d’une peine de travail d’intérêt général de 160 heures, sous déduction d’un jour de détention provisoire, la peine étant assortie d’un délai d’épreuve de deux ans.</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14 octobre 2015 consid. 6.1; TF 6B_709/2013 du 27 janvier 2014 consid. 2; CAPE 24 octobre 2017/291 consid. 4.1.1).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TF 6B_714/2015 du 28 septembre 2015 consid. 1.1). Lorsque des motifs de prévention spéciale permettent de considérer qu'une peine pécuniaire ou une nouvelle peine de travail d'intérêt général seraient d'emblée inadaptées (TF 6B_196/2012 du 24 janvier 2013 consid. 3.3; TF 6B_128/2011 du 14 juin 2011), l'autorité peut prononcer une peine privative de liberté de courte durée.</w:t>
      </w:r>
    </w:p>
    <w:p>
      <w:r>
        <w:rPr>
          <w:b/>
        </w:rPr>
        <w:t>E. 3.3</w:t>
      </w:r>
    </w:p>
    <w:p>
      <w:r>
        <w:t>D’abord, le prévenu se dit dépourvu de fortune et tributaire d’une activité précaire exercée à l’étranger. Selon lui, celle-ci ne lui rapporte que de quoi vivre, parfois 1'000 euros par mois. Il ne peut pas exercer une activité lucrative en Suisse. La peine pécuniaire n’est pas exécutable. Ensuite et surtout, l’intéressé affiche son mépris de l’ordre juridique suisse en séjournant de manière récurrente dans notre pays en dépit d’une condamnation prononcée pour infraction à la LEtr. Les 17 août 2016, 14 novembre 2016 et 10 mars 2017, l’appelant a fait l’objet d’interpellations lors desquelles il a lui avait été signifié qu’il séjournait en Suisse sans être au bénéfice d’un titre qui l’y aurait autorisé. Lors de sa dernière interpellation, il a déclaré estimer « avoir le droit de rester en Suisse » (P. 15/4). Ses sources de revenus apparaissent aléatoires et peu établies, tout comme l’est, en particulier, l’origine des fonds lui permettant de voyager parfois en avion. Son insertion sociale laisse à désirer. Il a en outre commis une infraction à la LStup. Il y a réitération dans le délai d’épreuve, ce qui témoigne d’une propension à la délinquance. Ces éléments révèlent un manque de prise de conscience. Dans ces conditions, un sursis est exclu. De plus, on ne voit pas comment une peine pécuniaire pourrait l’amender durablement. Une telle peine ne saurait ainsi avoir un effet de prévention spéciale suffisant. Ce qui précède s’applique mutatis mutandis à la peine de travail d’intérêt général à laquelle le prévenu conclut à titre subsidiaire. D’ailleurs, l’appelant n’étant pas autorisé à séjourner durablement dans notre pays, on voit mal comment un travail d’intérêt général pourrait être mis en place. Il y a donc lieu de prononcer une peine privative de liberté de courte durée. La quotité de la peine privative de liberté prononcée est adéquate au regard de l’art. 47 CP.</w:t>
      </w:r>
    </w:p>
    <w:p>
      <w:r>
        <w:rPr>
          <w:b/>
        </w:rPr>
        <w:t>E. 4</w:t>
      </w:r>
    </w:p>
    <w:p>
      <w:r>
        <w:t>Appel du Ministère public</w:t>
      </w:r>
    </w:p>
    <w:p>
      <w:r>
        <w:rPr>
          <w:b/>
        </w:rPr>
        <w:t>E. 4.1</w:t>
      </w:r>
    </w:p>
    <w:p>
      <w:r>
        <w:t>Le Parquet conclut à la révocation du sursis accordé le 16 mars 2017 par le Ministère public de l’arrondissement de Lausanne.</w:t>
      </w:r>
    </w:p>
    <w:p>
      <w:r>
        <w:rPr>
          <w:b/>
        </w:rPr>
        <w:t>E. 4.2</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6B_1165/2013 du 1 er mai 2014 et les références citées).</w:t>
      </w:r>
    </w:p>
    <w:p>
      <w:r>
        <w:rPr>
          <w:b/>
        </w:rPr>
        <w:t>E. 4.3</w:t>
      </w:r>
    </w:p>
    <w:p>
      <w:r>
        <w:t>En l’espèce, le prévenu n’a pas pu être atteint par la condamnation prononcée le 16 mars 2017 par le Ministère public de l’arrondissement de Lausanne, dès lors que l’ordonnance pénale ne lui a pas été notifiée. Les informations énoncées à l’art. 44 al. 3 CP ne lui ont donc pas été communiquées. Surtout, quoi qu’il en soit des effets de cette informalité, on peut espérer que l’exécution d’une peine privative de liberté aura un effet de prévention spéciale suffisant pour le détourner de la réitération, en d’autres termes pour conduire à son amendement. Il faut en effet prendre en compte le fait qu’il s’agit de la première peine privative de liberté prononcée à l’encontre du prévenu. Le pronostic à poser n’est donc plus défavorable en raison de l’exécution de la nouvelle peine. Partant, il n’y a pas lieu à révocation du sursis.</w:t>
      </w:r>
    </w:p>
    <w:p>
      <w:r>
        <w:rPr>
          <w:b/>
        </w:rPr>
        <w:t>E. 5</w:t>
      </w:r>
    </w:p>
    <w:p>
      <w:r>
        <w:t>Vu l'issue des appels, l'émolument d’appel (art. 21 al. 1 et 2 TFIP [Tarif des frais de procédure et indemnités en matière pénale du 28 septembre 2010; RSV 312.03.1]) sera mis à raison des quatre cinquièmes à la charge du prévenu (art. 428 al. 1 CPP), le solde étant laissé à la charge de l’Etat. En effet, celui-là succombe sur les conclusions de son appel à l’instar du Parquet sur les siennes, mais les conclusions, mêmes réduites, de l’appel principal soulevaient des questions de plus grande ampleur que celles de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