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409 vom 12. Juli 2017</w:t>
      </w:r>
    </w:p>
    <w:p>
      <w:r>
        <w:t>VD Tribunal cantonal, 2017-07-12, FR</w:t>
      </w:r>
    </w:p>
    <w:p>
      <w:r>
        <w:rPr>
          <w:b/>
        </w:rPr>
        <w:t xml:space="preserve">Quelle: </w:t>
      </w:r>
      <w:r>
        <w:t>https://mcp.opencaselaw.ch/entscheid/vd_findinfo_Jug___2017___409</w:t>
      </w:r>
    </w:p>
    <w:p>
      <w:r>
        <w:t>FR: VD_FINDINFO Jug / 2017 / 409 du 12 juillet 2017</w:t>
      </w:r>
    </w:p>
    <w:p>
      <w:r>
        <w:t>IT: VD_FINDINFO Jug / 2017 / 409 del 12 luglio 2017</w:t>
      </w:r>
    </w:p>
    <w:p>
      <w:pPr>
        <w:pStyle w:val="Heading2"/>
      </w:pPr>
      <w:r>
        <w:t>Regeste</w:t>
      </w:r>
    </w:p>
    <w:p>
      <w:r>
        <w:t>PEINE PRIVATIVE DE LIBERTÉ, ANTÉCÉDENT, RÉCIDIVE{INFRACTION} | 41 al. 1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P.________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ne conteste pas les faits qui lui sont reprochés. Il conteste uniquement le genre de peine qui lui a été infligé. Il invoque une violation de l’art. 41 CP et reproche au premier juge de ne pas avoir examiné si une peine pécuniaire pouvait être exécutée.</w:t>
      </w:r>
    </w:p>
    <w:p>
      <w:r>
        <w:rPr>
          <w:b/>
        </w:rPr>
        <w:t>E. 3.2</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6B_1000/2014 du 14 octobre 2015 consid. 6.1 ; TF 6B_709/2013 du 27 janvier 2014 consid. 2). Le juge doit motiver le choix de la courte peine privative de liberté ferme de manière circonstanciée (art. 41 al. 2 CP).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(ATF 134 IV 60 consid. 8.4 ; TF 6B_714/2015 du 28 septembre 2015 consid. 1.1). Lorsque des motifs de prévention spéciale permettent de considérer qu'une peine pécuniaire ou une nouvelle peine de travail d'intérêt général seraient d'emblée inadaptées (TF 6B_196/2012 du 24 janvier 2013 consid. 3.3 et TF 6B_128/2011 du 14 juin 2011), l'autorité peut prononcer une peine privative de liberté de courte durée.</w:t>
      </w:r>
    </w:p>
    <w:p>
      <w:r>
        <w:rPr>
          <w:b/>
        </w:rPr>
        <w:t>E. 3.3</w:t>
      </w:r>
    </w:p>
    <w:p>
      <w:r>
        <w:t>En l'espèce, le recourant a conduit alcoolisé le 3 novembre 2013 puis a repris le volant malgré le retrait de son permis de conduire le 10 novembre 2013. Il a déjà été condamné à quatre reprises entre 2009 et 2012 pour le même type d’infractions. Comme l’a relevé le premier juge, le recourant ne prend manifestement pas au sérieux les condamnations à des peines pécuniaires dont il a fait l'objet puisqu’elles ne l’ont pas dissuadé de récidiver et seule une peine privative de liberté entre par conséquent en considération pour des motifs de prévention spéciale. Même si les faits remontent au mois de novembre 2013, soit il y a plus de trois années, on constate un intervalle de deux ans entre ses condamnations d'août 2009 et d'août 2011, si bien qu'on ne saurait conclure à un amendement prolongé, étant relevé encore qu'il a subi une nouvelle condamnation en 2016 pour des infractions contre le patrimoine, ce qui tend à démontrer le total mépris de la loi pénale par le recourant. Partant, le Tribunal de police n’a aucunement violé l’art. 41 CP en prononçant une courte peine privative de liberté. La peine privative de liberté de 60 jours prononcée par le premier juge, adéquate, doit dès lors être confirmée.</w:t>
      </w:r>
    </w:p>
    <w:p>
      <w:r>
        <w:rPr>
          <w:b/>
        </w:rPr>
        <w:t>E. 4</w:t>
      </w:r>
    </w:p>
    <w:p>
      <w:r>
        <w:t>En définitive, l’appel de P.________ doit être rejeté et le jugement de première instance intégralement confirmé. Vu l'issue de la cause, les frais de la procédure d'appel, constitués en l’espèce de l'émolument du présent arrêt, par 1’170 fr. (art. 21 al. 1 et 2 TFIP [Tarif des frais de procédure et indemnités en matière pénale du 28 septembre 2010 ; RSV 312.03.1]) et de l’indemnité allouée au défenseur d’office de P.________, seront mis à la charge de ce dernier, qui succombe (art. 428 al. 1 CPP). Me Corinne Arpin a produit lors de l’audience une liste d’opérations, dont il n’y a pas lieu de s’écarter, hormis de la durée de l’audience d’appel qui sera réduite à 10 minutes au lieu d’une heure annoncée. L’indemnité due au défenseur d’office du prévenu pour la procédure d’appel sera ainsi arrêtée à 745 fr. 20, correspondant à 3 heures et 10 minutes d’activité à 180 fr. et une vacation à 120 fr., plus la TVA. P.________ ne sera tenu de rembourser à l’Etat l’indemnité due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