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405 vom 5. März 2004</w:t>
      </w:r>
    </w:p>
    <w:p>
      <w:r>
        <w:t>VD Tribunal cantonal, 2004-03-05, FR</w:t>
      </w:r>
    </w:p>
    <w:p>
      <w:r>
        <w:rPr>
          <w:b/>
        </w:rPr>
        <w:t xml:space="preserve">Quelle: </w:t>
      </w:r>
      <w:r>
        <w:t>https://mcp.opencaselaw.ch/entscheid/vd_findinfo_Jug___2017___405</w:t>
      </w:r>
    </w:p>
    <w:p>
      <w:r>
        <w:t>FR: VD_FINDINFO Jug / 2017 / 405 du 5 mars 2004</w:t>
      </w:r>
    </w:p>
    <w:p>
      <w:r>
        <w:t>IT: VD_FINDINFO Jug / 2017 / 405 del 5 marzo 2004</w:t>
      </w:r>
    </w:p>
    <w:p>
      <w:pPr>
        <w:pStyle w:val="Heading2"/>
      </w:pPr>
      <w:r>
        <w:t>Regeste</w:t>
      </w:r>
    </w:p>
    <w:p>
      <w:r>
        <w:t>RÉVISION{DÉCISION}, DÉCISION D'IRRECEVABILITÉ | 410 al. 1 let. a CPP (CH), 412 al. 2 CPP (CH)</w:t>
      </w:r>
    </w:p>
    <w:p>
      <w:pPr>
        <w:pStyle w:val="Heading2"/>
      </w:pPr>
      <w:r>
        <w:t>Erwägungen</w:t>
      </w:r>
    </w:p>
    <w:p>
      <w:r>
        <w:rPr>
          <w:b/>
        </w:rPr>
        <w:t>E. 1.1</w:t>
      </w:r>
    </w:p>
    <w:p>
      <w:r>
        <w:t>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Cette disposition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 TF 6B_310/2011 du 20 juin 2011 consid. 1.2).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 ATF 130 IV 72 consid. 1).</w:t>
      </w:r>
    </w:p>
    <w:p>
      <w:r>
        <w:rPr>
          <w:b/>
        </w:rPr>
        <w:t>E. 1.2</w:t>
      </w:r>
    </w:p>
    <w:p>
      <w:r>
        <w:t>Pour être valides en la forme, les demandes de révision doivent être motivées et adressées par écrit à la juridiction d’appel, les motifs de révision devant être exposés et justifiés dans la demande (art. 411 al. 1 CPP ; Heer, in : Niggli/Heer/Wiprächtiger [éd.], Basler Kommentar, Schweizerische Strafprozess-ordnung, Jungenstrafprozessordnung, 2e éd., Bâle 2014, n. 6 ad art. 411 CPP). Cela signifie que le requérant doit indiquer les points de la décision qu’il attaque, les motifs qui commandent une autre décision et les moyens de preuve qu’il allègue (art. 385 CPP, applicable à la demande de révision ; cf. sur ce point Calame, in : Kuhn/Jeanneret [éd.], Commentaire romand, Code de procédure pénale suisse, Bâle 2011,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2e éd., Bâle 2016, n. 3 ad art. 412 CPP).</w:t>
      </w:r>
    </w:p>
    <w:p>
      <w:r>
        <w:rPr>
          <w:b/>
        </w:rPr>
        <w:t>E. 1.3</w:t>
      </w:r>
    </w:p>
    <w:p>
      <w:r>
        <w:t>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 il est toutefois également possible de prononcer une décision de non-entrée en matière lorsque les motifs de révision invoqués apparaissent d'emblée non vraisemblables ou mal fondés (TF 6B_293/2013 du 19 juillet 2013 consid. 3.3 ; TF 6B_415/2012 du 14 décembre 2012 consid. 1.1).</w:t>
      </w:r>
    </w:p>
    <w:p>
      <w:r>
        <w:rPr>
          <w:b/>
        </w:rPr>
        <w:t>E. 2</w:t>
      </w:r>
    </w:p>
    <w:p>
      <w:r>
        <w:t>En l’espèce, D.________ affirme, sans toutefois le démontrer, que l’expert N.________ serait parvenu à des conclusions différentes, s’il avait eu connaissance de la précision selon laquelle les échantillons de foin avaient été prélevés par les inspecteurs trois jours après l’incendie. Quoi qu’il en soit, le rapport d’expertise indique, à la page de garde (P. 9) : « Incendie de balles de foin dans l’annexe de la ferme D.________, à [...], [...], le 31 août 2002, env. 1140 heures (…). Le 2 septembre 2002, les fonctionnaires sortis (sic) sur les lieux de l’incendie ont prélevés 5 échantillons de foin (…) ». Il n’a donc pas échappé à l’expert que les échantillons avaient été prélevés trois jours après l’incendie. Force est ainsi de constater que D.________ ne présente aucun fait ou moyen de preuve nouveau, propre à ébranler les constatations de fait sur lesquelles s'est fondée sa condamnation.</w:t>
      </w:r>
    </w:p>
    <w:p>
      <w:r>
        <w:rPr>
          <w:b/>
        </w:rPr>
        <w:t>E. 3</w:t>
      </w:r>
    </w:p>
    <w:p>
      <w:r>
        <w:t>Il résulte de ce qui précède que les motifs de révision invoqués sont d’emblée manifestement mal fondés, de sorte que la demande de révision présentée par D.________ doit être déclarée irrecevable. Vu l’issue de la cause, les frais de la procédure de révision, par 660 fr. (art. 21 et 22 TFIP [Tarif des frais de procédure et indemnités en matière pénale du 28 septembre 2010 ; RSV 312.03.1]), doivent être mis à la charge de D.________.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