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400 vom 26. April 2017</w:t>
      </w:r>
    </w:p>
    <w:p>
      <w:r>
        <w:t>VD Tribunal cantonal, 2017-04-26, FR</w:t>
      </w:r>
    </w:p>
    <w:p>
      <w:r>
        <w:rPr>
          <w:b/>
        </w:rPr>
        <w:t xml:space="preserve">Quelle: </w:t>
      </w:r>
      <w:r>
        <w:t>https://mcp.opencaselaw.ch/entscheid/vd_findinfo_Jug___2017___400</w:t>
      </w:r>
    </w:p>
    <w:p>
      <w:r>
        <w:t>FR: VD_FINDINFO Jug / 2017 / 400 du 26 avril 2017</w:t>
      </w:r>
    </w:p>
    <w:p>
      <w:r>
        <w:t>IT: VD_FINDINFO Jug / 2017 / 400 del 26 aprile 2017</w:t>
      </w:r>
    </w:p>
    <w:p>
      <w:pPr>
        <w:pStyle w:val="Heading2"/>
      </w:pPr>
      <w:r>
        <w:t>Regeste</w:t>
      </w:r>
    </w:p>
    <w:p>
      <w:r>
        <w:t>FIXATION DE LA PEINE, SURSIS À L'EXÉCUTION DE LA PEINE, PEINE PRIVATIVE DE LIBERTÉ, DROIT DES ÉTRANGERS | 41 al. 1 CP, 42 al. 1 CP, 47 CP, 54 CP, 115 al. 1 let. b LEtr, 115 al. 1 let. c LEtr</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un jugement d’un tribunal de première instance ayant clos la procédure (art. 398 al. 1 CPP), l'appel de P.________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ne remet en cause ni les faits incriminés, ni les infractions dont il a été reconnu coupable. Il soutient en revanche que sa culpabilité serait minime, voire inexistante. Dès lors, les conditions d’une exemption de peine au sens de l’art. 52 CP (Code pénal suisse du 21 décembre 1937; RS 311.0) seraient réunies. Subsidiairement, il conteste le refus du sursis, alléguant notamment qu’il « accepte son renvoi » et « respecte la législation ». Il expose encore que son épouse serait malade, qu’elle n’exercerait aucune activité lucrative s’occuperait de deux enfants en bas âge. Enfin, affirmant qu’une peine privative de liberté le contraindrait « à abandonner sa famille », et vu sa faible culpabilité et la quotité de la peine privative de liberté prononcée, il soutient que la possibilité d’un autre genre de peine devrait lui être offerte.</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 ATF 129 IV 113 consid. 1.1).</w:t>
      </w:r>
    </w:p>
    <w:p>
      <w:r>
        <w:rPr>
          <w:b/>
        </w:rPr>
        <w:t>E. 3.2.3</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5.3.3.3).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(ATF 135 IV 130 consid. 5.4). Lorsque la décision d’exemption de peine est prise dans le cadre d’un jugement, cette décision prend généralement la forme d’un verdict de culpabilité dépourvu de sanction (Dupuis et al. [éd.], Petit commentaire du Code pénal, 2 e éd., Bâle 2017, n. 7 ad art. 52 CP).</w:t>
      </w:r>
    </w:p>
    <w:p>
      <w:r>
        <w:rPr>
          <w:b/>
        </w:rPr>
        <w:t>E. 3.2.4</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w:t>
      </w:r>
    </w:p>
    <w:p>
      <w:r>
        <w:rPr>
          <w:b/>
        </w:rPr>
        <w:t>E. 3.2.5</w:t>
      </w:r>
    </w:p>
    <w:p>
      <w:r>
        <w:t>Selon l'art. 115 al. 1 LEtr (Loi fédérale sur les étrangers du 16 décembre 2005; RS 142. 20), est puni d'une peine privative de liberté d'un an au plus ou d'une peine pécuniaire quiconque (b) séjourne illégalement en Suisse, notamment après l'expiration de la durée du séjour non soumis à autorisation ou du séjour autorisé, ou (e) exerce une activité lucrative sans autorisation.</w:t>
      </w:r>
    </w:p>
    <w:p>
      <w:r>
        <w:rPr>
          <w:b/>
        </w:rPr>
        <w:t>E. 3.2.6</w:t>
      </w:r>
    </w:p>
    <w:p>
      <w:r>
        <w:t>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En édictant l'art. 41 CP, le législateur a institué un ordre légal de priorité en faveur des sanctions non privatives de liberté. Cela résulte du principe de la proportionnalité, mais également de l'intention essentielle, qui était au cours de la révision de la partie générale du Code pénal en matière de sanction, d'éviter les courtes peines de prison ou d'arrêts, qui font obstacle à la socialisation de l'auteur, et de leur substituer d'autres sanctions (ATF 134 IV 82 consid. 4. 1; ATF 134 IV 60 consid. 4. 3).</w:t>
      </w:r>
    </w:p>
    <w:p>
      <w:r>
        <w:rPr>
          <w:b/>
        </w:rPr>
        <w:t>E. 3.3</w:t>
      </w:r>
    </w:p>
    <w:p>
      <w:r>
        <w:t>En l’espèce, l'appelant ne conteste pas s’être rendu coupable de séjour illégal et d’activité sans autorisation. Ces infractions sont passibles d’une peine privative de liberté d’un an au plus ou d’une peine pécuniaire (art. 115 al. 1 LEtr). Le prévenu a des antécédents résultant de deux condamnations. Il s'agit des mêmes infractions à la LEtr. Il se trouve donc en situation de récidive spéciale. La période concernée dans la présente cause s’étend du 25 février 2011 au 10 avril 2012. Les faits sont ainsi, pour partie, antérieurs à la condamnation du 19 septembre 2011 à une peine privative de liberté de 90 jours. Contrairement à ce qu’affirme l’appelant, sa culpabilité n’est pas minime. Le premier juge a retenu à juste titre une culpabilité importante en raison du concours d'infractions et du fait que les condamnations antérieures du prévenu n'ont eu aucun effet sur son comportement. Celui-ci s’est en effet obstiné à demeurer en Suisse pour y travailler malgré deux précédentes condamnations. Le fait d’avoir travaillé, certes dans un secteur difficile où, selon ses dires, la main-d’œuvre serait rare, et cherché à subvenir à ses besoins ne modifie en rien cette appréciation, les comportements invoqués par l’intéressé étant précisément réprimés par les dispositions en cause. De telles circonstances ne peuvent ainsi être retenues à décharge. En outre, les propos de l’appelant selon lesquels il aurait toujours pensé agir de manière honnête, par méconnaissance des procédures administratives et judiciaires, ne revêtent aucune crédibilité. Le prévenu ne saurait faire ainsi l’impasse sur son séjour en Suisse depuis 1995, sur le rejet de sa demande d’asile, sur les nombreuses interpellations dont il a fait l’objet et les décisions de renvoi prononcées à son encontre, auxquelles il s’est soustrait (cf. P. 46/1 pp. 1 et 2). Par ailleurs, l’argument selon lequel il n’aurait pris connaissance de la précarité de son statut qu’après avoir purgé la peine privative de liberté ordonnée en 2011 ne possède aucune consistance, vu les démarches qu’il a entreprises pour obtenir un statut de séjour légal avant son incarcération, et le fait qu’en dépit de cette sanction il a persisté à séjourner illégalement en Suisse. Enfin, le prévenu n’a fourni aucune indication démontrant que son renvoi de Suisse serait organisé et exécuté à bref délai (art. 115 al. 4 LEtr). Il ne parvient en définitive pas à faire valoir un critère de détermination de la culpabilité que le premier juge aurait omis de prendre en considération. La peine prononcée, qui n'apparait pas exagérée compte tenu la culpabilité de l'appelant, sera donc confirmée. S’agissant en particulier du genre de peine, la Cour de céans considère, à l’instar du premier juge, que les conditions du sursis ne sont pas remplies, cela en raison de la persistance du prévenu à rester en Suisse malgré ses refoulements successifs et les décisions administratives et judiciaires rendues contre lui. Le pronostic apparait donc ici clairement défavorable. En outre, le prévenu a été condamné par le passé à une peine privative de liberté qui n’a eu aucun impact sur lui, de sorte que le prononcé d’une peine pécuniaire serait sans effet. Enfin, en l’absence de statut de séjour légal en Suisse, un travail d’intérêt général ne peut être prononcé. Des motifs de prévention spéciale imposent ainsi le prononcé d’une peine privative de liberté de courte durée, ferme. Au vu de ce qui précède, la peine privative de liberté (partiellement complémentaire) prononcée par le premier juge, de 90 jours, qui se situe dans le cadre légal (49 al. 2 CP), sera confirmée.</w:t>
      </w:r>
    </w:p>
    <w:p>
      <w:r>
        <w:rPr>
          <w:b/>
        </w:rPr>
        <w:t>E. 4</w:t>
      </w:r>
    </w:p>
    <w:p>
      <w:r>
        <w:t>En définitive, l’appel de P.________ doit être rejeté et le jugement entrepris intégralement confirmé. Vu l’issue de la cause, l’émolument d’arrêt, par 1’610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