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370 vom 21. Juni 2017</w:t>
      </w:r>
    </w:p>
    <w:p>
      <w:r>
        <w:t>VD Tribunal cantonal, 2017-06-21, FR</w:t>
      </w:r>
    </w:p>
    <w:p>
      <w:r>
        <w:rPr>
          <w:b/>
        </w:rPr>
        <w:t xml:space="preserve">Quelle: </w:t>
      </w:r>
      <w:r>
        <w:t>https://mcp.opencaselaw.ch/entscheid/vd_findinfo_Jug___2017___370</w:t>
      </w:r>
    </w:p>
    <w:p>
      <w:r>
        <w:t>FR: VD_FINDINFO Jug / 2017 / 370 du 21 juin 2017</w:t>
      </w:r>
    </w:p>
    <w:p>
      <w:r>
        <w:t>IT: VD_FINDINFO Jug / 2017 / 370 del 21 giugno 2017</w:t>
      </w:r>
    </w:p>
    <w:p>
      <w:pPr>
        <w:pStyle w:val="Heading2"/>
      </w:pPr>
      <w:r>
        <w:t>Regeste</w:t>
      </w:r>
    </w:p>
    <w:p>
      <w:r>
        <w:t>PRÉSOMPTION D'INNOCENCE, FIXATION DE LA PEINE, VOL{DROIT PÉNAL}, SURSIS À L'EXÉCUTION DE LA PEINE, REJET DE LA DEMANDE | 42 CP, 47 CP, 69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w:t>
      </w:r>
    </w:p>
    <w:p>
      <w:r>
        <w:rPr>
          <w:b/>
        </w:rPr>
        <w:t>E. 3.1</w:t>
      </w:r>
    </w:p>
    <w:p>
      <w:r>
        <w:t>L’appelant se prévaut de la nullité du jugement rectificatif rendu en application de l'art. 83 al. 1 CPP ordonnant son maintien en détention.</w:t>
      </w:r>
    </w:p>
    <w:p>
      <w:r>
        <w:rPr>
          <w:b/>
        </w:rPr>
        <w:t>E. 3.2</w:t>
      </w:r>
    </w:p>
    <w:p>
      <w:r>
        <w:t>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(TF 6B_13/2016 du 23 janvier 2017 et la référence citée). Lorsque la nullité n'est pas d'emblée manifeste, il n'appartient pas au juge de la détention, mais au juge du fond d'examiner de manière approfondie les éventuelles irrégularités affectant le jugement de première instance, respectivement celles contenues dans les prononcés correctifs de celui-ci (TF 1B_165/2017 du 19 mai 2017 consid. 4.3).</w:t>
      </w:r>
    </w:p>
    <w:p>
      <w:r>
        <w:rPr>
          <w:b/>
        </w:rPr>
        <w:t>E. 3.3</w:t>
      </w:r>
    </w:p>
    <w:p>
      <w:r>
        <w:t>En l’espèce, il est manifeste que les premiers juges voulaient maintenir Q.________ en détention. A la date du jugement, ce dernier n’avait pas purgé sa peine et le risque qu’il ne la purge pas était patent. On rappellera en outre que les premiers juges ont ordonné l’expulsion de l’appelant et, surtout, qu’ils ont mentionné en page 38 du jugement attaqué « vu la peine prononcée ce jour, il y a lieu d’ordonner le maintien en détention de ce détenu (ndr : Q.________), pour des motifs de sûreté ». A cela s’ajoute que les premiers juges ont ordonné la libération immédiate d’un des co-prévenus. Ils en auraient fait de même pour l’appelant s’ils ne souhaitaient pas le maintenir en détention. Partant, force est de constater que l’omission affectant le dispositif est une omission manifeste. Cette erreur dans l’expression de la volonté des premiers juges leur permettaient de rectifier le dispositif de leur jugement, si bien que le premier moyen de l’appelant doit être rejeté.</w:t>
      </w:r>
    </w:p>
    <w:p>
      <w:r>
        <w:rPr>
          <w:b/>
        </w:rPr>
        <w:t>E. 4.1</w:t>
      </w:r>
    </w:p>
    <w:p>
      <w:r>
        <w:t>L’appelant conteste avoir participé aux cas 3 à 11, 14, 16 et 17 et considère que c’est à tort que les premiers juges les ont retenus à sa charge.</w:t>
      </w:r>
    </w:p>
    <w:p>
      <w:r>
        <w:rPr>
          <w:b/>
        </w:rPr>
        <w:t>E. 4.2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w:t>
      </w:r>
    </w:p>
    <w:p>
      <w:r>
        <w:rPr>
          <w:b/>
        </w:rPr>
        <w:t>E. 4.3</w:t>
      </w:r>
    </w:p>
    <w:p>
      <w:r>
        <w:t>En l’occurrence, on constate tout d’abord que l’appelant est l’aîné de la bande de presque vingt ans. Des éléments au dossier, on constate que lors de la commission des infractions, Q.________ restait dans la voiture et attendait ses comparses. L’enquête a ainsi permis d’établir (P. 92/1 pp 14 ss) qu’il disposait de plusieurs téléphones portables et que la voiture Rover lui appartenait. C’est encore Q.________ qui a téléchargé, en octobre 2016, des fichiers Excel listant […] de Suisse ; or plusieurs vols ont été commis dans cette entreprise. Il apparaît en outre que l’appelant tenait une comptabilité des vols et qu’il s’occupait du transport de la marchandise en Roumanie. A l’exception de D.________, qui l’a mis en cause dans son audition récapitulative (PV aud. 12), il est protégé par ses complices. Le prénommé a en effet décrit le mode opératoire de la bande. C’est ainsi qu’il a précisément expliqué le rôle de chacun : « chacun son rôle ; [...] et moi on entrait dans le magasin, La Personne était au téléphone avec [...],Q.________ restait dans la voiture et [...] mettait ce qu’elle voulait dans le chariot. […] je confirme que [...] avait effectivement le beau rôle en restant dans la voiture » (PV aud. 12 p. 4 l. 124 ss). Les éléments qui précèdent permettent de retenir, à l’instar des premiers juges, que la bande était organisée, hiérarchisée et qu’elle agissait selon un mode opératoire éprouvé, le beau rôle étant attribué à l’appelant.</w:t>
      </w:r>
    </w:p>
    <w:p>
      <w:r>
        <w:rPr>
          <w:b/>
        </w:rPr>
        <w:t>E. 4.3.1</w:t>
      </w:r>
    </w:p>
    <w:p>
      <w:r>
        <w:t>S’agissant du cas n° 3 : Q.________ a formellement été mis en cause par D.________ (PV aud. 12 p. 4 l. 137). A cela s’ajoute qu’une photographie d’une unité centrale PC Predator figurait dans le portable de l’appelant (P. 61 ; P. 92/12 p. 10). C’est en vain que ce cas est contesté.</w:t>
      </w:r>
    </w:p>
    <w:p>
      <w:r>
        <w:rPr>
          <w:b/>
        </w:rPr>
        <w:t>E. 4.3.2</w:t>
      </w:r>
    </w:p>
    <w:p>
      <w:r>
        <w:t>S’agissant du cas n° 4 : ce cas intervient une heure après le précédent. La bande s’est déplacée de Nyon à Allaman, ce qui signifie qu’elle a un chauffeur. De plus, Q.________ est mis en cause par D.________ (PV aud. 12 p. 5 l. 152). C’est encore en vain que l’appelant conteste ce cas.</w:t>
      </w:r>
    </w:p>
    <w:p>
      <w:r>
        <w:rPr>
          <w:b/>
        </w:rPr>
        <w:t>E. 4.3.3</w:t>
      </w:r>
    </w:p>
    <w:p>
      <w:r>
        <w:t>S’agissant du cas n° 5 : ici encore Q.________ est mis en cause par D.________ (PV aud. 12 p. 5 l. 161). Si le vol n’a pas pu être consommé, on constate que les intéressés ont tenté de dérober de la nourriture et des vêtements, pour près de 1'500 fr., au préjudice de la [...]. Il est ainsi évident que l’importance du vol nécessitait la présence du chauffeur, en l’occurrence l’appelant puisque la bande fonctionnait ainsi. C’est en vain que ce cas est contesté.</w:t>
      </w:r>
    </w:p>
    <w:p>
      <w:r>
        <w:rPr>
          <w:b/>
        </w:rPr>
        <w:t>E. 4.3.4</w:t>
      </w:r>
    </w:p>
    <w:p>
      <w:r>
        <w:t>S’agissant du cas n° 6, une fois de plus l’appelant est formellement mis en cause par D.________ (PV aud. 12 p. 5 l. 171), qui explique avoir vu le téléphone volé. On peut encore observer que ce vol a eu lieu le même jour que le vol précédent, environ une heure plus tard. La bande s’est déplacée de Romanel à Lausanne. Les comparses avaient donc une voiture et l’on ne voit pas que la bande ait changé dans l’intervalle. C’est en vain que ce cas est contesté.</w:t>
      </w:r>
    </w:p>
    <w:p>
      <w:r>
        <w:rPr>
          <w:b/>
        </w:rPr>
        <w:t>E. 4.3.5</w:t>
      </w:r>
    </w:p>
    <w:p>
      <w:r>
        <w:t>S’agissant du cas n° 7, les deux ordinateurs portables figurent dans la comptabilité de l’appelant (P. 61/2). De plus, deux heures avant le forfait, une caméra de surveillance confirme que c’est l’appelant qui conduisait le véhicule Ford de location qui a été repéré à côté du magasin lésé et qui a démarré en trombe lorsque R.________ est sorti aux pas de course du magasin avec la marchandise sous le bras (P. 92/12 pp. 13 à 17). Enfin, des photos des deux ordinateurs figurent dans le téléphone portable de l’appelant. C’est en vain que ce cas est contesté.</w:t>
      </w:r>
    </w:p>
    <w:p>
      <w:r>
        <w:rPr>
          <w:b/>
        </w:rPr>
        <w:t>E. 4.3.6</w:t>
      </w:r>
    </w:p>
    <w:p>
      <w:r>
        <w:t>S’agissant du cas n° 8, la présence de R.________ et de [...] a été remarquée à [...] (P. 92/2 pp 17 et 18). De plus, juste avant ce vol, une caméra de surveillance de circulation a décelé la présence de la Ford à [...]. Ce véhicule circulait en direction de Fribourg, soit la direction qu’il faut prendre pour se rendre à [...]. Or il ressort du dossier que le loueur et le conducteur du véhicule est l’appelant (P. 11/1 p. 3 ; P. 92/1 p. 15).</w:t>
      </w:r>
    </w:p>
    <w:p>
      <w:r>
        <w:rPr>
          <w:b/>
        </w:rPr>
        <w:t>E. 4.3.7</w:t>
      </w:r>
    </w:p>
    <w:p>
      <w:r>
        <w:t>S’agissant des cas 9 et 10, l’appelant a été mis en cause par D.________ (PV aud. 12 p. 6 l 205 ; PV aud. 12 p. 7 l. 219). A cela s’ajoute, pour le cas 10, que l’enquête révèle la présence de la Ford conduite par l’appelant et dans laquelle [...] est passager, moins d’une heure avant le vol (P. 92/2 p. 21 et 22). Enfin, les caméras de surveillance du magasin Coop à Crissier identifient [...], [...] et R.________ (P. 92/2 p. 22). Une partie du butin volé se trouve en outre dans la comptabilité de Q.________. C’est en vain que l’appelant conteste ces deux cas.</w:t>
      </w:r>
    </w:p>
    <w:p>
      <w:r>
        <w:rPr>
          <w:b/>
        </w:rPr>
        <w:t>E. 4.3.8</w:t>
      </w:r>
    </w:p>
    <w:p>
      <w:r>
        <w:t>S’agissant du cas 11, D.________ reconnaît comme possible ce vol commis avec la même bande (PV aud. 12 p. 7 l. 255). L’appelant a tort lorsqu’il soutient que personne ne semble se souvenir de ce cas. Le butin se compose en effet de 17 bouteilles de champagnes. Ce vol a été commis à Saint-Prex le 17 octobre 2017 un peu avant 13h00. L’ampleur du butin nécessite à l’évidence un véhicule. Au surplus, [...], [...] et R.________ ont été identifiés par les caméras de surveillance (P. 92/2 p. 22 à 24). C’est ainsi en vain que ce cas est contesté, ce d’autant plus que trente minutes plus tard on retrouve toute la bande à Morges, dans un cas admis par l’appelant.</w:t>
      </w:r>
    </w:p>
    <w:p>
      <w:r>
        <w:rPr>
          <w:b/>
        </w:rPr>
        <w:t>E. 4.3.9</w:t>
      </w:r>
    </w:p>
    <w:p>
      <w:r>
        <w:t>S’agissant du cas 14, l’appelant est formellement mis en cause par D.________, (PV aud. 12 p 8 l. 282), qui confirme que la bande a agi selon le même mode opératoire qu’à l’accoutumée. De plus, R.________ a pu être formellement identifié au moyen des caméras de surveillance (P. 92/2 p. 29). C’est en vain que l’appelant conteste ce cas.</w:t>
      </w:r>
    </w:p>
    <w:p>
      <w:r>
        <w:rPr>
          <w:b/>
        </w:rPr>
        <w:t>E. 4.3.10</w:t>
      </w:r>
    </w:p>
    <w:p>
      <w:r>
        <w:t>S’agissant du cas 16, le couple [...] et [...] a été contrôlé une heure avant le vol commis à [...] dans le véhicule Rover appartenant à l’appelant (P. 92/2 p. 29). D.________ a été identifié à l’interne par le personnel de la Coop et a abandonné un caddie rempli de marchandise dont l’ampleur nécessitait un véhicule. D.________ a formellement mis en cause l’appelant (PV aud. 12 p 9 l. 307). C’est en vain que ce cas est contesté.</w:t>
      </w:r>
    </w:p>
    <w:p>
      <w:r>
        <w:rPr>
          <w:b/>
        </w:rPr>
        <w:t>E. 4.3.11</w:t>
      </w:r>
    </w:p>
    <w:p>
      <w:r>
        <w:t>Enfin, s’agissant du cas 17, il s’est produit entre le jeudi 6 et le jeudi 20 octobre 2010. La police a retrouvé, dans la Rover de l’appelant, du matériel Hi-Fi que R.________ et D.________ ont admis avoir volé au centre Balexert de Genève (Migros) (PV aud 10 p. 7). L’appelant affirme que cette marchandise n’est pas le produit d’un vol. C’est absurde au vu des déclarations de ses comparses. Contrairement à ce qu’affirme l’appelant, tout le relie à ce vol, sachant que la bande est soudée. C’est donc en vain que ce cas est contesté. En définitive, il n’y a aucune appréciation erronée des faits. La présomption d’innocence n’est nullement violée et l’état de fait, tel que retenu par les premiers juges, doit être confirmé.</w:t>
      </w:r>
    </w:p>
    <w:p>
      <w:r>
        <w:rPr>
          <w:b/>
        </w:rPr>
        <w:t>E. 5.1</w:t>
      </w:r>
    </w:p>
    <w:p>
      <w:r>
        <w:t>Aux termes de l'art. 139 CP (Code pénal suisse du 21 décembre 1937 ; RS 311.0),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dix ans au plus ou d’une peine pécuniaire de 180 jours-amende au moins si son auteur l’a commis en qualité d’affilié à une bande formée pour commettre des brigandages ou des vols.</w:t>
      </w:r>
    </w:p>
    <w:p>
      <w:r>
        <w:rPr>
          <w:b/>
        </w:rPr>
        <w:t>E. 5.2</w:t>
      </w:r>
    </w:p>
    <w:p>
      <w:r>
        <w:t>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(ATF 129 IV 253). L'auteur doit avoir agi à plusieurs reprises, avoir eu l'intention d'obtenir un revenu et être prêt à réitérer ses agissements (ATF 119 IV 129 consid. 3).</w:t>
      </w:r>
    </w:p>
    <w:p>
      <w:r>
        <w:rPr>
          <w:b/>
        </w:rPr>
        <w:t>E. 5.3</w:t>
      </w:r>
    </w:p>
    <w:p>
      <w:r>
        <w:t>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124 IV 286 consid. 2a). Cette qualification suppose toutefois un minimum d’organisation (par exemple une répartition des tâches ou des rôles) et que la coopération des intéressés soit suffisamment intense pour que l’on puisse parler d’un groupe stable même s’il n’est qu’éphémère (ATF 132 IV 132 consid. 5.2 et les références citées). Du point de vue subjectif, il suffit que l’auteur connaisse et veuille les circonstances de fait qui correspondent à la définition de la bande (ATF 124 IV 86 consid. 2b).</w:t>
      </w:r>
    </w:p>
    <w:p>
      <w:r>
        <w:rPr>
          <w:b/>
        </w:rPr>
        <w:t>E. 5.4</w:t>
      </w:r>
    </w:p>
    <w:p>
      <w:r>
        <w:t>Au vu des explications figurant ci-dessus et des nombreux cas auxquels Q.________ a participé, il est manifeste que c’est la forme aggravée du vol qui doit être retenue. L’appel doit être rejeté sur ce point.</w:t>
      </w:r>
    </w:p>
    <w:p>
      <w:r>
        <w:rPr>
          <w:b/>
        </w:rPr>
        <w:t>E. 6</w:t>
      </w:r>
    </w:p>
    <w:p>
      <w:r>
        <w:t>L'appelant ne conteste la quotité de la peine que dans la mesure où il estime devoir être libéré de certaines infractions. Or, comme vu plus haut, l'état de fait retenu par les premiers juges, de même que la qualification juridique des faits, doivent être confirmés. Pour le reste, vérifiée d'office, la quotité de la peine est adéquate. En effet, à l'instar du Tribunal correctionnel, la Cour de céans relève que la culpabilité de l'appelant est très lourde. Ce prévenu, âgé de 40 ans, au bénéfice de plusieurs formations professionnelles, est venu en Suisse pour y commettre de nombreuses infractions par pur appât du gain. Il a fait preuve de détermination et d’un grand sens de l’organisation, puisque c’est lui qui assurait la logistique du groupe, qui a loué la voiture et acheté les téléphones portables. On rappellera en outre qu’il envoyait ses jeunes comparses au feu alors qu’il attendait tranquillement leur retour dans son véhicule. Tout au long de l’enquête, aux débats de première instance et encore en appel, il n’a eu de cesse de mentir et de donner des explications fantaisistes, compliquant ainsi la tâche des autorités pénales. La circonstance aggravante de la bande ainsi que celle du métier sont réalisées. A décharge, l’on prendra en compte l’absence d’antécédents pénaux ainsi que son bon comportement en prison. En définitive, la peine privative de liberté de 28 mois, sous déduction des 244 jours de détention avant jugement subis, l’amende de 600 fr., ainsi que la peine privative de liberté de substitution de 10 jours en cas de non-paiement fautif de l’amende, prononcées par le tribunal de première instance doivent être confirmées. Le sursis partiel octroyé par les premiers juges, à savoir que la peine portant sur 14 mois sera suspendue, peut être confirmé. Le délai d’épreuve de cinq ans est adéquat.</w:t>
      </w:r>
    </w:p>
    <w:p>
      <w:r>
        <w:rPr>
          <w:b/>
        </w:rPr>
        <w:t>E. 7</w:t>
      </w:r>
    </w:p>
    <w:p>
      <w:r>
        <w:t>Vu ce qui précède, la demande d'indemnité de l'appelant à titre de réparation du tort moral subi en raison de la détention provisoire de 20 jours (art. 429 al. 1 let. c CPP) n'a pas d'objet.</w:t>
      </w:r>
    </w:p>
    <w:p>
      <w:r>
        <w:rPr>
          <w:b/>
        </w:rPr>
        <w:t>E. 8</w:t>
      </w:r>
    </w:p>
    <w:p>
      <w:r>
        <w:t>L’appelant conteste encore l’expulsion du territoire suisse durant 5 ans  prononcée à son encontre. Il fait valoir que l’infraction de vol simple ne fait pas partie de la liste des infractions qui requièrent l’expulsion du territoire.</w:t>
      </w:r>
    </w:p>
    <w:p>
      <w:r>
        <w:rPr>
          <w:b/>
        </w:rPr>
        <w:t>E. 8.1</w:t>
      </w:r>
    </w:p>
    <w:p>
      <w:r>
        <w:t>L'art. 66a CP (Code pénal suisse du 21 décembre 1937 ; RS 311.0) est entré en vigueur le 1 er octobre 2016. Aux termes de l'al. 1 let. c de cette disposition, le juge expulse de Suisse l'étranger qui est condamné pour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 quelle que soit la quotité de la peine prononcée à son encontre, pour une durée de cinq à quinze ans.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principe de la proportionnalité contenu dans cette disposition commande de conditionner l’expul­sion à un acte d’une certaine gravité tenant compte à la fois de la sanction prévue par la loi et de la peine prononcée dans le cas concret (Message du Conseil fédéral du 26 juin 2013 relatif à une modification du code pénal et du code pénal militaire [Message], FF 2013 p. 5373).</w:t>
      </w:r>
    </w:p>
    <w:p>
      <w:r>
        <w:rPr>
          <w:b/>
        </w:rPr>
        <w:t>E. 8.2</w:t>
      </w:r>
    </w:p>
    <w:p>
      <w:r>
        <w:t>En l’espèce, l’appelant est condamné pour vol en bande et par métier, infraction faisant partie du catalogue de l’art. 66a let. c CP. L’art. 66a al. 2 CP ne trouve pas application en l’espèce. L’expulsion de Q.________ du territoire suisse doit être prononcée en tant qu’il en remplit tous les critères. Le grief, mal fondé, doit donc être rejeté.</w:t>
      </w:r>
    </w:p>
    <w:p>
      <w:r>
        <w:rPr>
          <w:b/>
        </w:rPr>
        <w:t>E. 9</w:t>
      </w:r>
    </w:p>
    <w:p>
      <w:r>
        <w:t>L’appelant conteste enfin la confiscation et la destruction du téléphone portable Samsung Galaxy S7, fiche de pièce à conviction 5476, ordonnées par les premiers juges.</w:t>
      </w:r>
    </w:p>
    <w:p>
      <w:r>
        <w:rPr>
          <w:b/>
        </w:rPr>
        <w:t>E. 9.1</w:t>
      </w:r>
    </w:p>
    <w:p>
      <w:r>
        <w:t>L'art. 69 CP est une norme obligatoire ; lorsque les conditions de la confiscation sont réunies, celle-ci doit être ordonnée (Hirsig-Vouilloz, in Roth/Moreillon (éd.), Commentaire romand, Code pénal I, n. 8 ad art. 69 CP). Selon cette disposition, la confiscation peut porter soit sur des choses qui ont servi ou devaient servir à commettre une infraction, tels que des téléphones portables utilisés lors d’une infraction, soit sur des choses qui sont le produit d’une infraction, tels que des stupéfiants (Hirsig-Vouilloz, op. cit., nn. 23-24 ad art. 69 CP). Pour procéder à une confiscation, il doit donc exister un lien de connexité entre la commission d’une infraction et l’objet à confisquer. Le simple fait qu’un objet soit généralement destiné ou propre à être éventuellement utilisé pour commettre une infraction n’est pas suffisant. Il faut, mais il suffit, qu’il existe un risque sérieux que l’objet puisse servir à commettre une infraction (Hirsig-Vouilloz, op. cit., nn. 28-29 ad art. 69 CP ; TF 6S.317/2006 du 10 octobre 2006 c. 2.3.1 ; ATF 125 IV 185 c.2). Le doute sur la connexité entre un objet et l’infraction doit profiter à l’accusé (Favre/Pellet/Stoudmann, Code pénal annoté, Lausanne 2007, n.1.1 ad art. 69 CP). Pour pouvoir prononcer une confiscation, il faut également que les objets qui ont servi ou devaient servir à commettre une infraction ou qui en sont le produit compromettent la sécurité des personnes, la morale ou l’ordre public. On ne saurait cependant émettre des exigences élevées en ce qui concerne ce danger ; il suffit qu’il soit vraisemblable que, sans cette mesure, il y ait un danger si l’objet n’est pas confisqué en main de l’ayant droit. Une telle vraisemblance peut exister bien que l’objet soit dangereux non par sa nature mais seulement par l’usage dont il est susceptible (Hirsig-Vouilloz, op. cit., nn. 25-26 ad art. 69 CP). D’une manière générale, on sera porté à admettre l’existence du risque exigé par l’art. 69 CP si l’objet en cause a été acquis pour commettre des infractions et si, dans les mains de l’auteur, il a été utilisé plusieurs fois dans ce but, ou encore qu’il ne puisse servir qu’à cela (ibidem ; ATF 116 IV 117). Finalement, la confiscation doit respecter le principe de proportionnalité et elle ne s’impose donc que dans la mesure où elle est nécessaire pour sauvegarder la sécurité des personnes, la morale ou l’ordre public.</w:t>
      </w:r>
    </w:p>
    <w:p>
      <w:r>
        <w:rPr>
          <w:b/>
        </w:rPr>
        <w:t>E. 9.2</w:t>
      </w:r>
    </w:p>
    <w:p>
      <w:r>
        <w:t>En l’occurrence, contrairement à ce que soutient l’appelant, il n’est pas impliqué de manière très accessoire dans les faits listés dans l’acte d’accusation, mais avait un rôle fondamental puisque c’est lui qui conduisait les véhicules servant à transporter ses comparses et à emporter le butin. Vu le fonctionnement de la bande, dont les membres s’organisaient notamment au moyen de leurs téléphones portables, le téléphone portable susmentionné a donc servi à commettre des infractions et compromet la sécurité des personnes et l’ordre public. Partant, les conditions de l’art. 69 CP sont réunies et la confiscation ainsi que la destruction de ce téléphone sont justifiées.</w:t>
      </w:r>
    </w:p>
    <w:p>
      <w:r>
        <w:rPr>
          <w:b/>
        </w:rPr>
        <w:t>E. 10</w:t>
      </w:r>
    </w:p>
    <w:p>
      <w:r>
        <w:t>Il découle de ce qui précède que l’appel de Q.________ doit être rejeté et le jugement de première instance intégralement confirmé.</w:t>
      </w:r>
    </w:p>
    <w:p>
      <w:r>
        <w:rPr>
          <w:b/>
        </w:rPr>
        <w:t>E. 11</w:t>
      </w:r>
    </w:p>
    <w:p>
      <w:r>
        <w:t>La détention subie par le prévenu depuis le jugement de première instance sera déduite (art. 51 CP). Son maintien en détention pour des motifs de sûreté (art. 220 al. 2 CPP) sera ordonné pour parer au risque de fuite (art. 221 al. 1 let. a CPP), ainsi qu’au risque de récidive (art. 221 al. 1 let. c CPP).</w:t>
      </w:r>
    </w:p>
    <w:p>
      <w:r>
        <w:rPr>
          <w:b/>
        </w:rPr>
        <w:t>E. 12</w:t>
      </w:r>
    </w:p>
    <w:p>
      <w:r>
        <w:t>Me Janique Torchio, défenseur du prévenu a produit une liste d'opérations faisant état de 27h59 de travail audience comprise, plus les débours et la TVA. Ce temps est excessif. Il convient ainsi de retrancher : - 1h20 de mémos (10 x 8 minutes), qui représentent du pur travail de secrétariat ; - 4h00 de vacation, ce temps étant déjà compté dans les 120 fr. alloués pour chaque déplacement ; - 40 minutes de l’opération du 21 août 2017, qui constitue une simple lettre informant la Cour de céans qu’Q.________ n’arrive plus à joindre sa famille. - 1h00 au poste diverses opérations futures ; - 20 minutes de l’opération du 24 juillet 2017, qui constitue une simple lettre d’accompagnement de l’envoi de la déclaration d’appel (les mémos étant déjà déduits) ; - 20 minutes de l’opération du 15 août 2017, qui constitue deux simples correspondances. Vu ce qui précède, on tiendra pour raisonnable un temps de travail arrondi de 20h00, audience d'appel incluse pour la procédure de seconde instance. Il convient, cela étant, d'allouer à Me Janique Torchio, défenseur d'office du prévenu, une indemnité d'office de 4'460 fr. 40. Cela correspond à un total arrondi de 20h00 au tarif de l'avocat breveté de 180 fr. (3’600 fr.) quatre vacation au tarif de l'avocat breveté de 120 fr., 50 fr. de débours et 8 % de TVA. Vu l’issue de la cause, les frais de la procédure d’appel, par 7'360 fr. 40, constitués en l’espèce de l’émolument du jugement, par 2’900 fr. (art. 21 al. 1 et 2 TFIP [Tarif des frais de procédure et indemnités en matière pénale du 28 septembre 2010 ; RSV 312.03.1]), et de l'indemnité allouée à son défenseur d'office, par 4'460 fr. 40, TVA et débours inclus, doivent être mis à la charge du prévenu, qui succombe (art. 428 al. 1 CPP).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