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36 vom 21. Juli 2016</w:t>
      </w:r>
    </w:p>
    <w:p>
      <w:r>
        <w:t>VD Tribunal cantonal, 2016-07-21, FR</w:t>
      </w:r>
    </w:p>
    <w:p>
      <w:r>
        <w:rPr>
          <w:b/>
        </w:rPr>
        <w:t xml:space="preserve">Quelle: </w:t>
      </w:r>
      <w:r>
        <w:t>https://mcp.opencaselaw.ch/entscheid/vd_findinfo_Jug___2017___36</w:t>
      </w:r>
    </w:p>
    <w:p>
      <w:r>
        <w:t>FR: VD_FINDINFO Jug / 2017 / 36 du 21 juillet 2016</w:t>
      </w:r>
    </w:p>
    <w:p>
      <w:r>
        <w:t>IT: VD_FINDINFO Jug / 2017 / 36 del 21 luglio 2016</w:t>
      </w:r>
    </w:p>
    <w:p>
      <w:pPr>
        <w:pStyle w:val="Heading2"/>
      </w:pPr>
      <w:r>
        <w:t>Regeste</w:t>
      </w:r>
    </w:p>
    <w:p>
      <w:r>
        <w:t>INDEMNITÉ ÉQUITABLE, FRAIS DE LA PROCÉDURE, ACQUITTEMENT | 426 al. 2 CPP (CH), 429 al. 1 let. a CPP (CH), 430 CPP (CH), 433 al. 1 CPP(CH)</w:t>
      </w:r>
    </w:p>
    <w:p>
      <w:pPr>
        <w:pStyle w:val="Heading2"/>
      </w:pPr>
      <w:r>
        <w:t>Erwägungen</w:t>
      </w:r>
    </w:p>
    <w:p>
      <w:r>
        <w:rPr>
          <w:b/>
        </w:rPr>
        <w:t>E. 1.1</w:t>
      </w:r>
    </w:p>
    <w:p>
      <w:r>
        <w:t>Interjetés dans les formes et délais légaux (art. 399 CPP [Code de procédure pénale suisse du 5 octobre 2007 ; RS 312.0]), par les prévenus qui ont qualité pour recourir, contre le jugement d’un tribunal de première instance ayant clos la procédure (art. 398 al. 1 CPP), les appels de H.________ et de X.________ sont recevables.</w:t>
      </w:r>
    </w:p>
    <w:p>
      <w:r>
        <w:rPr>
          <w:b/>
        </w:rPr>
        <w:t>E. 1.2</w:t>
      </w:r>
    </w:p>
    <w:p>
      <w:r>
        <w:t>Les appels portant uniquement sur des questions de frais et d’indemnités, la procédure écrite est applicable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Les appelants contestent tout d’abord la mise à leur charge des frais de la procédure de première instance.</w:t>
      </w:r>
    </w:p>
    <w:p>
      <w:r>
        <w:rPr>
          <w:b/>
        </w:rPr>
        <w:t>E. 3.1.1</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6B_262/2015 du 29 janvier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L'acte répréhensible n'a pas à être commis intentionnellement. La négligence suffit, sans qu'il soit besoin qu'elle soit grossière (TF 6B_439/2013 du 19 juillet 2013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6B_262/2015 précité consid. 1.1 ; TF 6B_706/2014 du 28 août 2015).</w:t>
      </w:r>
    </w:p>
    <w:p>
      <w:r>
        <w:rPr>
          <w:b/>
        </w:rPr>
        <w:t>E. 3.1.2</w:t>
      </w:r>
    </w:p>
    <w:p>
      <w:r>
        <w:t>Selon la jurisprudence fédérale, la violation des devoirs du mandataire envers le mandant peut justifier que les frais soient mis à la charge du mandataire à l’issue d’une procédure pénale ouverte contre celui-ci notamment pour abus de confiance, escroquerie et faux dans les titres (TF 6B_303/2010 consid. 3.4 ; Domeisen, in : Niggli/ Heer/Wiprächtiger [éd.], op. cit., n. 9 ad art. 426 CPP). Aux termes de l’art. 398 al. 2 CO, le mandataire est responsable envers le mandant de la bonne et fidèle exécution du mandat. Sa responsabilité est soumise, d'une manière générale, aux mêmes règles que celles du travailleur dans les rapports de travail (art. 398 al. 1 CO). Il doit donc exécuter avec soin la tâche qui lui est confiée et sauvegarder fidèlement les intérêts légitimes de son cocontractant (art. 321a al. 1 CO). Le mandataire est notamment tenu, à la demande du mandant, de lui rendre en tout temps compte de sa gestion et de lui restituer tout ce qu'il a reçu de ce chef, à quelque titre que ce soit (art. 400 al. 1 CO). Lorsque le mandataire s’est substitué un tiers, le mandant peut faire valoir directement contre celui-ci les droits que ce dernier a contre lui (art. 399 al. 3 CO).</w:t>
      </w:r>
    </w:p>
    <w:p>
      <w:r>
        <w:rPr>
          <w:b/>
        </w:rPr>
        <w:t>E. 3.1.3</w:t>
      </w:r>
    </w:p>
    <w:p>
      <w:r>
        <w:t>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 TF 1B_475/2012 du 10 juin 2013 consid. 2.1). Or, les frais directs et indirects d'une procédure pénale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 TF 1B_475/2012 précité consid. 2.1 ; TF 6B_87/2012 du 27 avril 2012 ; TF 1B_21/2012 du 27 mars 2012 ; TF 6B_668/2009 du 5 mars 2010 consid. 3.3.3).</w:t>
      </w:r>
    </w:p>
    <w:p>
      <w:r>
        <w:rPr>
          <w:b/>
        </w:rPr>
        <w:t>E. 3.2.1</w:t>
      </w:r>
    </w:p>
    <w:p>
      <w:r>
        <w:t>Il convient tout d’abord de relever que H.________ et X.________ se sont liés à B.________ et Z.________ – représentées par N.________ – par un contrat de sous-mandat, dès lors qu’L.________ et T.________, qui ont accepté un mandat de gestion pour le compte des prénommées, se sont substitués les prévenus. H.________ et X.________ se sont ainsi engagés, par la signature du contrat du 26 octobre 2000, à faire fructifier la somme qui leur était confiée, principalement par des opérations immobilières en Suisse romande et, subsidiairement, par d’autres investissements commerciaux. A cet égard, force est de constater que les prévenus ont, à de nombreuses reprises, violé leur obligation de bonne et fidèle exécution du mandat. En effet, comme l’a à juste titre relevé le Tribunal correctionnel, H.________ et X.________ ont fait montre de négligence et de légèreté dans la conduite de leurs affaires. Dès la réception des 9 millions de florins sur le compte KARI, les prévenus ont constaté qu’il existait une contradiction entre, d’une part, les déclarations de T.________ et L.________, qui prétendaient librement disposer des fonds concernés et, d’autre part, les indications d’N.________, qui présentait B.________ et Z.________ comme les propriétaires de l’argent, lequel devait être bloqué sur le compte KARI durant trois ans et donner lieu au versement d’intérêts trimestriels de 6.25%. Or, loin de chercher à clarifier leur mission et à préciser la latitude dont ils disposaient dans la gestion des fonds auprès des plaignantes, les prévenus se sont contentés des explications lénifiantes de T.________ et L.________. H.________ a notamment, par acte du 22 novembre 2000, confirmé aux plaignantes qu’elle avait pris note des consignes d’N.________ concernant l’utilisation et la restitution des fonds et qu’elle s’engageait à verser des intérêts à dates fixes, tout en sachant que tel ne serait pas le cas. On retiendra donc que, dès le début de leur mandat, les prévenus se sont accommodés du flou et de l’ambiguïté qui entouraient leur mission, ce qui leur permettait de satisfaire leurs propres ambitions, au risque de contrevenir aux intérêts et à la volonté des plaignantes. Les prévenus ont ensuite investi une partie des fonds déposés sur le compte KARI, souvent avec une grande légèreté. Au lieu de s’en tenir à des investissements immobiliers en Suisse romande, tels qu’évoqués dans le contrat du 26 octobre 2000 et pour lesquels H.________ disposait d’une expérience professionnelle, les appelants se sont aventurés sur des terrains dont ils n’étaient pas familiers. Lors des débats de première instance, H.________ a indiqué qu’elle avait décidé de sortir de son secteur de compétences simplement car elle voulait aborder un nouveau domaine et « faire quelque chose de beaucoup plus puissant » (jgt, p. 44). Ainsi, sans juger du potentiel commercial qui résidait dans le développement de pelles mécaniques sous-marines, la Cour de céans constate que les prévenus se sont enthousiasmés pour ce projet dont les spécificités techniques et commerciales leur échappaient largement. H.________ a admis qu’elle n’avait pris aucun renseignement sur la société C.________, en particulier sur sa situation financière, avant d’entrer en affaires avec elle. Elle a précisé qu’elle n’avait jamais soumis les documents, notamment le business plan, qui lui avaient été fournis par cette société à l’expertise d’un tiers, en dépit du fait qu’elle ne connaissait rien au domaine concerné (PV aud. 18, ll. 110 s.). Elle a en outre reconnu avoir versé un premier acompte de 500'000 francs français à C.________ avant même la signature d’un contrat, soit le jour même où elle rencontrait pour la première fois le propriétaire de la pelleteuse qu’elle souhaitait acquérir (PV aud. 18, ll. 265 s. et 290 ss). Enfin, H.________ a déclaré avoir par la suite agi de manière imprudente en n’insistant pas pour voir la pelle mécanique fonctionner en milieu marin (PV aud. 18, ll. 138 ss). Les prévenus se sont en définitive investis dans un projet dont ils ne maîtrisaient pas la complexité et avec une imprudence certaine, même s’ils se sont entourés de quelques spécialistes, en engageant des montants considérables. Au total, 500'000 fr. ont ainsi été utilisés pour constituer le capital-actions de R.________SA et U.________SA, tandis que 685'739 euros ont été versés à C.________, qui a finalement fait faillite, sans qu’aucun bénéfice n’en soit retiré. De la même manière, les prévenus se sont laissés éblouir par les perspectives de crédit offertes par J.________. Ils se sont certes rendus à Los Angeles afin de rencontrer les responsables de cette société, mais se sont ensuite contentés des explications de ceux-ci, ainsi que du concours d’un avocat et d’un notaire mandatés par J.________ (jgt, p. 51). 55'000 dollars américains ont ainsi été déboursés sans résultat. La recherche d’une garantie bancaire a également conduit H.________ à prélever 114'696 euros 09 sur le compte KARI, dans le but de réaliser une affaire avec Y.________. Une fois encore, cet investissement a été effectué en pure perte. La légèreté des prévenus s’avère aussi patente relativement au prêt de 77'000 fr. accordé à K.________. Ceux-ci se sont en effet contentés de vérifier que le prénommé ne faisait pas l’objet de poursuites ni d’actes de défaut de biens. Pour le reste, X.________ a admis que les « contrôles d’usage » n’avaient pas été effectués concernant cette opération, car K.________ « était d’un certain âge et présentait bien » (PV aud. 11, ll. 39 s.). En outre, alors qu’ils savaient que B.________ et Z.________ étaient les propriétaires des fonds déposés sur le compte KARI, les prévenus ont effectué de nombreux versements en faveur d’L.________, de T.________ ou de leurs proches, sur simples demandes des deux prénommés, pour un montant total de 2'065'929 euros. H.________ et X.________ ne se sont pas préoccupés de l’affectation de ces sommes, n’ont pas cherché à vérifier la nature et la réalité des investissements effectués et ne se sont pas davantage inquiétés en constatant que le compte KARI n’était en définitive jamais crédité de capital ou d’intérêts par T.________ ou L.________. A propos de ces versements, H.________ a d’ailleurs déclaré n’avoir jamais obtenu d’explications de la part des deux intéressés et avoir toujours considéré que « c’était leur argent et [qu’elle n’avait pas à s’en] préoccuper » (PV aud. 12, ll. 64 s.). Elle a par ailleurs admis qu’elle s’était contentée « d’affirmations verbales » de la part de T.________ et L.________, qu’elle les avait « laissé faire » et aurait dû se montrer « plus exigeante » (PV aud. 12, ll. 87 et 91 s.). Il découle de ce qui précède que H.________ et X.________ ont, par leur légèreté, leur imprudence et parfois leur incurie, dilapidé des sommes considérables dont la gestion leur avait été confiée, aucun des investissements consentis n’ayant débouché sur un quelconque bénéfice et le capital ayant été perdu. Ce faisant, ils ont fautivement violé leurs devoirs de mandataires découlant de l’art. 398 al. 2 CO. Par ailleurs, lorsque les prévenus ont été mis en demeure par Q.________ d’exécuter le contrat du 26 octobre 2000 en versant les intérêts prévus, ils s’y sont refusés, en répondant notamment le 19 mars 2001 qu’ils ne rendaient des comptes qu’à L.________ et T.________, alors qu’ils savaient que B.________ et Z.________ étaient les propriétaires des fonds et pouvaient, de ce fait, exiger qu’il leur soit rendu compte de la gestion des capitaux. Ils ont par la suite tenté de gagner du temps, en prétextant l’existence de formalités administratives imposées par l’A.________, ou en s’abstenant de répondre aux courriers qui leur demandaient de payer les intérêts ou de restituer le capital. Finalement, lorsqu’N.________ a exigé, en juillet 2002, le remboursement du capital auprès de l’A.________, H.________ a feint la surprise et a menacé de saisir les autorités financières afin de déterminer la provenance des fonds. Ainsi, durant près d’une année et demi, les prévenus ont refusé de rendre des comptes au représentant de B.________ et Z.________, dont ils connaissaient pourtant les pouvoirs, ou de verser aux prénommées les montants prévus par le contrat du 26 octobre et l’avenant du 8 novembre 2000, en opposant aux intéressés des explications fallacieuses. Ils savaient cependant que les propriétaires des fonds cherchaient à savoir ce qu’il était advenu de leurs capitaux et pourquoi les intérêts ne leur étaient pas payés comme H.________ s’était pourtant expressément engagée à le faire dans son courrier du 22 novembre 2000. Partant, les prévenus ont également fautivement violé leurs obligations découlant de l’art. 400 al. 1 CO.</w:t>
      </w:r>
    </w:p>
    <w:p>
      <w:r>
        <w:rPr>
          <w:b/>
        </w:rPr>
        <w:t>E. 3.2.2</w:t>
      </w:r>
    </w:p>
    <w:p>
      <w:r>
        <w:t>En plus des violations de leurs obligations de sous-mandataires, H.________ et X.________ ont également enfreint l’interdiction non écrite de créer sans nécessité l'apparence qu'une infraction a été ou pourrait être commise. En effet, dans un premier temps, les appelants ont accepté de se charger de la gestion de fonds d’une importance inhabituelle pour eux, en se liant contractuellement à L.________ et T.________. Or, ainsi que l’a reconnu H.________, les prévenus n’ont pas cherché à obtenir des renseignements concernant les deux prénommés (PV aud. 12, ll. 44 s.). Dès avant la conclusion du contrat du 26 octobre 2000 et jusqu’à la disparition de T.________ et L.________, les prévenus se sont par ailleurs contentés de leurs explications orales, sans chercher à en vérifier la véracité. X.________ a lui aussi reconnu que, dans le cadre de leurs relations d’affaires, il n’avait demandé aucune garantie particulière à T.________ et L.________ car ceux-ci étaient « suffisamment sécurisants » (PV aud. 19, l. 140). Comme on l’a relevé précédemment, les prévenus ont en outre accepté, dès le versement des 9 millions de florins sur le compte KARI, de gérer ces fonds malgré les injonctions contradictoires de leurs différents interlocuteurs, toujours en se laissant rassurer par T.________ et L.________. Enfin, lors de la signature des documents relatifs à l’ouverture du compte KARI le 10 novembre 2000, H.________ s’est faussement présentée comme l'ayant droit économique des fonds et a demandé le blocage du courrier auprès de l'A.________. Dans un deuxième temps, les appelants ont élaboré diverses structures juridiques, devant en principe servir leurs investissements. Ils ont ainsi créé les sociétés R.________SA, U.________SA et V.________ afin d’exploiter des pelles mécaniques en milieu aquatique. Les prévenus ont ensuite œuvré indistinctement pour ces sociétés, sans jamais définir, du moins par écrit, selon quelles modalités ils devaient travailler pour leur compte et percevoir une rémunération. Ils n’ont, par ailleurs, pas agi à l’égard des sociétés en question comme s’il s’agissait d’entités juridiques indépendantes, mais ont disposé de leurs avoirs pour leurs divers besoins et projets. Par exemple, en avril 2001, R.________SA a été utilisée pour octroyer un prêt à K.________, sans que cette opération n’ait le moindre rapport avec l’activité de la société. En outre, la comptabilité des sociétés ne reflétait pas leurs avoirs réels. X.________ a ainsi expliqué qu’il avait inscrit, dans la comptabilité de R.________SA, le compte KARI comme « compte courant actionnaire ». Il a ajouté que, dans son esprit, R.________SA était une « holding qui détenait U.________SA, qui elle-même détenait V.________ » (jgt, p. 56). L’intéressé a aussi reconnu que, dans le plan financier d’U.________SA, il avait indiqué que cette société était constituée d’un capital de 1'500'000 fr., ce qui était faux, mais avait été inscrit « pour attirer de la clientèle et bien vendre le produit » (PV aud. 7, R. 5). Eu égard à cette utilisation confuse des sociétés et à la comptabilité imprécise tenue par X.________, les prévenus ont ainsi eu de la peine, au cours de l’instruction et durant les débats de première instance, à expliquer précisément quels étaient les buts et les activités de celles-ci, ou de quelle manière ils travaillaient pour elles et étaient rémunérés pour cette activité. De manière générale, les prévenus ont par ailleurs admis que les libellés des opérations sur le compte KARI ne reflétaient pas toujours la réalité et pouvaient prêter à confusion (PV aud. 7, R. 8 ; PV aud. 8, R. 8). A titre d’exemple, on peut mentionner le montant de 52'508 fr. qui a été libellé comme charge d’U.________SA, alors que celui-ci a été débité du compte par H.________ pour payer l’écolage de sa fille. Le prélèvement d’honoraires par les prévenus s’est avéré particulièrement confus. H.________ et X.________ se sont en effet octroyés des montants, à ce titre, de manière totalement irrégulière. H.________ a, à cet égard, reconnu que les honoraires en question auraient dû être prélevés à des dates fixes et « étalés dans le temps » (PV aud. 12, ll. 101 s.). X.________ a lui aussi déclaré que les honoraires étaient prélevés chaque fois que les prévenus en avaient besoin (jgt, p. 55). On relèvera encore que le montant de la rémunération à laquelle pouvaient prétendre les prévenus pour leur travail n’a jamais été fixé par écrit. Ceux-ci n’ont d’ailleurs pas été en mesure d’expliquer quelle devait en être la limite ni comment les honoraires devaient être calculés. A ce propos, il convient de signaler que les appelants se sont accommodés du flou qui entourait leur mode de rémunération et qui leur permettait de se verser des sommes à discrétion. H.________ a ainsi admis qu’elle avait prélevé 170'000 fr. sur le compte KARI à titre d’avances sur commissions, car elle avait besoin d’argent, mais n’avait jamais fait signer les notes d’honoraires correspondantes par T.________, car ce dernier « était toujours pressé lorsqu’il venait chez [elle] » (PV aud. 8, R. 10). X.________ a quant à lui acquis une voiture qu’il a financée au moyen d’une avance sur honoraires. On relèvera encore que le mode de rémunération des prévenus n’était pas uniquement opaque pour des tiers, mais qu’il ne permettait manifestement pas aux intéressés de savoir quels avaient été leurs honoraires. De fait, au cours de l’instruction, H.________ et X.________ n’ont pas été en mesure d’expliquer ni de justifier tous les montants prélevés sur le compte KARI. Il découle de ce qui précède que les prévenus ont fautivement créé l’apparence qu’une infraction avait été commise. En effet, au lieu de prendre des précautions pour vérifier dans quelle mesure T.________ et L.________ pouvaient disposer des fonds dont la gestion leur avait été confiée et si B.________ et Z.________ entendaient bien autoriser des investissements risqués sans percevoir par ailleurs d’intérêts, ils ont disposé du compte KARI à leur guise, y puisant allégrement pour se verser des honoraires, sans se soucier de pouvoir par la suite chiffrer ou justifier ceux-ci auprès des propriétaires des capitaux. H.________ s’est quant à elle faussement présentée auprès de l’A.________ comme l’ayant droit économique des fonds, ajoutant de la sorte à la confusion de la situation. Les appelants ont en outre tenu une comptabilité imprécise des sociétés qu’ils avaient créées et n’ont pas libellé les prélèvements effectués sur le compte KARI de manière rigoureuse, si bien qu’ils n’étaient pas en mesure d’expliquer et de prouver par pièces la destination et l’affectation de tous les montants débités. Enfin, lorsque les plaignantes ont cherché à savoir ce qu’il était advenu de leurs fonds, H.________ et X.________, loin de chercher à clarifier la situation, se sont enferrés dans une stratégie empreinte de mauvaise foi et d’atermoiements, donnant ainsi l’impression qu’ils cherchaient à dissimuler les résultats de leur gestion. Cette manière de disposer des capitaux de B.________ et Z.________, qui a abouti à la dilapidation des fonds confiés couplée à une rémunération généreuse du travail des prévenus, pouvait de toute évidence laisser penser que ces derniers s’étaient rendus coupables d’abus de confiance, d’escroquerie ou de gestion déloyale. Au vu de ces circonstances, H.________ et X.________ auraient dû se rendre compte que leur attitude risquait de provoquer l'ouverture d'une enquête pénale à leur encontre. Ils ont, à cet égard également, agi de manière illicite.</w:t>
      </w:r>
    </w:p>
    <w:p>
      <w:r>
        <w:rPr>
          <w:b/>
        </w:rPr>
        <w:t>E. 3.2.3</w:t>
      </w:r>
    </w:p>
    <w:p>
      <w:r>
        <w:t>Le comportement illicite et fautif des prévenus se trouve en relation de causalité avec l’ouverture de l’instruction pénale et les frais de la procédure. En effet, la plainte pénale de Z.________ et B.________ a été déposée car les prévenus refusaient depuis de nombreux mois de payer des intérêts ou de restituer les fonds confiés, souvent en s’abstenant de répondre aux courriers qui leur étaient adressés. Lorsque l’enquête a débuté, H.________ et X.________ n’ont pas été en mesure d’indiquer dans le détail ce qui était advenu des fonds en question. Ils ont laborieusement dû expliquer quel emploi ils en avaient fait, la plupart du temps sans être en mesure de fournir des justificatifs écrits et, parfois, sans pouvoir en déterminer l’affectation. On relèvera à cet égard que H.________ et X.________ sont pleinement responsables du manque de clarté qui entourait leurs rapports avec les plaignantes ainsi que les limites de leurs pouvoirs de gestion sur les fonds déposés sur le compte KARI. Ils doivent ainsi assumer le fait qu’il n’ait pas été possible, dans un premier temps, de déterminer s’ils avaient le droit d’investir ces montants et de se verser des honoraires comme bon leur semblait, en vertu des pouvoirs de représentation de T.________ et L.________, respectivement d’N.________. L’absence d’une comptabilité rigoureuse pour les sociétés fondées par les prévenus et d’une documentation complète concernant l’intégralité des prélèvements effectués sur le compte KARI a par ailleurs renforcé l’impression que des infractions avaient été commises. Les prélèvements irréguliers opérés sur le compte à titre d’honoraires et le mode de rémunération des prévenus, que ceux-ci peinaient à expliquer, ont également créé l’apparence que des sommes avaient été utilisées illicitement par H.________ et X.________. De nombreuses auditions ont ainsi dû être conduites pour définir comment les fonds avaient été utilisés par les appelants, pourquoi des sommes considérables avaient été perdues dans des opérations hasardeuses tandis que d’autres avaient été accaparées par H.________, X.________, T.________ et T.________. Lors des débats de première instance encore, les prévenus ont été longuement entendus afin de clarifier certains aspects du dossier. Ainsi, les appelants n’ont certes pas rendu l’enquête plus difficile, mais ils n’ont aucunement été en mesure de se disculper rapidement. Ce n’est qu’au terme d’une longue instruction, qui a notamment impliqué de recueillir des informations à l’étranger, d’entendre plusieurs témoins et d’examiner avec minutie les pièces comptables et la documentation fournie par les prévenus, que ces derniers ont finalement pu être acquittés. Partant, on ne saurait admettre, comme le soutient X.________, que l’autorité d’instruction aurait pu, après quelques vérifications, délivrer une ordonnance de classement. En effet, un tel classement n’aurait de toute évidence pu intervenir sur la base des simples déclarations des prévenus – qui étaient incapables de justifier l’emploi précis des fonds dont ils avaient accepté la gestion – sans contrevenir au principe in dubio pro duriore. En définitive, H.________ et X.________ ont bien, de manière illicite et fautive, provoqué l'ouverture de la procédure pénale dirigée contre eux. C’est ainsi à bon droit que le Tribunal correctionnel a mis les frais afférents à celle-ci à leur charge. Mal fondés, les appels doivent être rejetés sur ce point.</w:t>
      </w:r>
    </w:p>
    <w:p>
      <w:r>
        <w:rPr>
          <w:b/>
        </w:rPr>
        <w:t>E. 4</w:t>
      </w:r>
    </w:p>
    <w:p>
      <w:r>
        <w:t>Les appelants concluent ensuite chacun à l’allocation d’une indemnité pour les dépenses occasionnées par l'exercice raisonnable de leurs droits de procédure en première instance.</w:t>
      </w:r>
    </w:p>
    <w:p>
      <w:r>
        <w:rPr>
          <w:b/>
        </w:rPr>
        <w:t>E. 4.1</w:t>
      </w:r>
    </w:p>
    <w:p>
      <w:r>
        <w:t>Aux termes de l’art. 429 al. 1 let. a CPP, le prévenu acquitté totalement ou en partie a droit à une indemnité pour les dépenses occasionnées par l'exercice raisonnable de ses droits de procédure. En vertu de l'art. 430 al. 1 let. a CPP, l'autorité pénale peut réduire ou refuser l'indemnité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précité consid. 1.2).</w:t>
      </w:r>
    </w:p>
    <w:p>
      <w:r>
        <w:rPr>
          <w:b/>
        </w:rPr>
        <w:t>E. 4.2</w:t>
      </w:r>
    </w:p>
    <w:p>
      <w:r>
        <w:t>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1139 consid. 2c). Selon la jurisprudence européenne, apparaissent comme des carences choquantes une inactivité de 13 ou 14 mois au stade de l'instruction, un délai de quatre ans pour qu'il soit statué sur un recours contre l'acte d'accusation ou encore un délai de 10 ou</w:t>
      </w:r>
    </w:p>
    <w:p>
      <w:r>
        <w:rPr>
          <w:b/>
        </w:rPr>
        <w:t>E. 5</w:t>
      </w:r>
    </w:p>
    <w:p>
      <w:r>
        <w:t>Les appelants se plaignent, en outre, d’une violation du principe de célérité par l’autorité d’instruction. Ils estiment que cette violation aurait dû conduire les premiers juges à leur accorder une indemnité fondée sur l’art. 429 CPP.</w:t>
      </w:r>
    </w:p>
    <w:p>
      <w:r>
        <w:rPr>
          <w:b/>
        </w:rPr>
        <w:t>E. 5.1</w:t>
      </w:r>
    </w:p>
    <w:p>
      <w:r>
        <w:t>L'art. 29 al. 1 Cst. garantit à toute personne, dans une procédure judiciaire ou administrative, le droit à ce que sa cause soit traitée dans un délai raisonnable. A l'instar de l'art.</w:t>
      </w:r>
    </w:p>
    <w:p>
      <w:r>
        <w:rPr>
          <w:b/>
        </w:rPr>
        <w:t>E. 5.2</w:t>
      </w:r>
    </w:p>
    <w:p>
      <w:r>
        <w:t>En l’espèce, les appelants relèvent à juste titre que si B.________ et Z.________ ont déposé plainte le 14 avril 2003, il a fallu attendre le 11 décembre 2015 pour qu’un acte d’accusation soit délivré par le Ministère public, puis le 21 juillet 2016 pour qu’un jugement soit rendu par le tribunal de première instance. La Cour de céans admet par ailleurs que les appelants ne sont pas à l’origine de la durée considérable de l’instruction. On relèvera néanmoins que le procès-verbal des opérations ne révèle aucune période d’inactivité prolongée de la part de l’autorité d’instruction. L’enquête a ainsi été conduite de manière constante, quoique parfois avec lenteur. Il convient à cet égard de relever la complexité de l’affaire et la nécessité, pour l’autorité d’instruction, d’obtenir des informations auprès de diverses entités situées à l’étranger. On notera en outre que l’instruction n’était à l’origine pas exclusivement dirigée contre les appelants, mais également à l’encontre de T.________ jusqu’en avril 2011 et d’L.________ jusqu’en août 2015, ce qui a notablement ralenti la conduite de l’enquête. En définitive, une appréciation d’ensemble, et notamment la prise en compte du temps particulièrement long écoulé entre le dépôt de la plainte pénale et la délivrance de l’acte d’accusation – soit près de 13 années –, doit conduire à la constatation d’une violation du principe de célérité. Les prévenus ayant été acquittés par le Tribunal correctionnel, cette violation du principe de célérité ne peut, en l’occurrence, conduire à une réduction de peine. Néanmoins, on relèvera que les appelants ont largement bénéficié du retard injustifié pris par l’instruction. En effet, H.________ et X.________ ont été libérés du chef d’accusation de gestion déloyale notamment car les faits qui leur étaient reprochés, remontant aux années 2000 à 2002, étaient atteints par la prescription de l’action pénale lors de leur jugement par le Tribunal correctionnel (cf. jgt, pp. 89-102). Les appelants ne sauraient ainsi fonder des prétentions sur la violation du principe de célérité, la constatation simplement déclaratoire d’une telle violation constituant au demeurant déjà une forme de réparation (ATF 130 IV 54 consid. 3.3.2 ; ATF 129 V 411 consid. 1.3 ; ATF 122 IV 103 consid. I.4). 6. Les appelants font enfin grief aux premiers juges de les avoir condamnés à verser aux parties plaignantes une juste indemnité pour leurs dépenses obligatoires occasionnées par la procédure.</w:t>
      </w:r>
    </w:p>
    <w:p>
      <w:r>
        <w:rPr>
          <w:b/>
        </w:rPr>
        <w:t>E. 6</w:t>
      </w:r>
    </w:p>
    <w:p>
      <w:r>
        <w:t>par. 1 CEDH, qui n'offre à cet égard pas une protection plus étendue, cette disposition consacre le principe de la célérité, en ce sens qu'elle prohibe le retard injustifié à statuer. Concrétisant le principe de célérité, l'art. 5 al. 1 CPP impose aux autorités pénales d'engager les procédures pénales sans délai et de les mener à terme sans retard injustifié.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(TF 6S.66/2005 du 14 avril 2005 consid.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16_130/2011 du 12 avril 2011 consid.</w:t>
      </w:r>
    </w:p>
    <w:p>
      <w:r>
        <w:rPr>
          <w:b/>
        </w:rPr>
        <w:t>E. 6.1</w:t>
      </w:r>
    </w:p>
    <w:p>
      <w:r>
        <w:t>Selon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(al. 2). Ainsi, lorsque le prévenu, bien que libéré des fins de la poursuite pénale, est astreint au paiement de tout ou partie des frais, conformément à l’art. 426 al. 2 CPP, il peut être tenu de payer les dépenses obligatoires occasionnées par la procédure à la partie plaignante (Moreillon/Parein-Reymond, Commentaire du Code de procédure pénale, 2 e éd., Bâle 2016, n. 7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6.2</w:t>
      </w:r>
    </w:p>
    <w:p>
      <w:r>
        <w:t>En l’espèce, les prévenus ont été astreints au paiement des frais de première instance sur la base de l'art. 426 al. 2 CPP. Les conditions légales à l’octroi d’une indemnité aux plaignantes fondée sur l’art. 433 al. 1 let. b CPP sont ainsi remplies. Les appelants ne contestent pas, pour le surplus, la quotité de l’indemnité allouée aux plaignantes par les premiers juges. Les plaignantes ont chiffré et justifié leurs prétentions lors de la procédure de première instance, par la production d’une note d’honoraires de leur avocat faisant état de 180 heures d’activité au tarif horaire de 450 francs, soit un montant de 81'000 fr. hors TVA. Les premiers juges ont cependant réduit cette indemnité à 50'000 fr., valeur échue, en tenant compte du tarif horaire applicable dans le canton de Vaud en matière d’indemnités pénales, ainsi que des particularités de l’affaire. Au vu de la complexité de la cause, de l’ampleur du dossier et des opérations effectuées par l’avocat des plaignantes entre novembre 2002 et juillet 2016, cette appréciation ne prête pas le flanc à la critique et l’indemnité allouée aux plaignantes, mise à la charge des prévenus, doit ainsi être confirmée. Les appels doivent en conséquence être rejetés sur ce point. 7. Il découle de ce qui précède que les appels de H.________ et de X.________ doivent être rejetés et le jugement du 21 juillet 2016 intégralement confirmé. Sur la base de la liste des opérations produite par Me Julie Krattinger, défenseur d’office de H.________ (P. 157/1), et dont il n’y a pas lieu de s’écarter, une indemnité pour la procédure d'appel d'un montant de 3’805 fr. 80, TVA et débours inclus, lui sera allouée. Elle sera mise à la charge de l’appelante H.________, qui succombe. B.________ et Z.________ ont conclu à l’allocation de dépens pour la procédure d’appel. Toutefois, dans la mesure où elles ont obtenu gain de cause en leur qualité d'intimées, d'une part, mais qu'elles ont retiré leur appel le 8 février 2017, d'autre part, il n'y a pas lieu de leur accorder une indemnité à titre de l'art. 433 CPP. Vu l’issue de la cause, l’émolument du jugement, par 3’190 fr. (art. 21 al. 1 TFIP), sera mis à la charge des appelants, chacun devant en assumer la moitié. H.________ ne sera tenue de rembourser à l’Etat le montant de l’indemnité en faveur de son défenseur d'office que lorsque sa situation financière le permettra (art. 135 al. 4 let. a CPP).</w:t>
      </w:r>
    </w:p>
    <w:p>
      <w:r>
        <w:rPr>
          <w:b/>
        </w:rPr>
        <w:t>E. 11</w:t>
      </w:r>
    </w:p>
    <w:p>
      <w:r>
        <w:t>mois pour que le dossier soit transmis à l'autorité de recours (ATF 130 IV 54 consid. 3.3.3 ; ATF 124 I 139 consid. 2c ; ATF 119 IV 107 consid. 1c). Le principe de célérité peut être violé, même si les autorités pénales n'ont commis aucune faute. Celles-ci ne sauraient donc exciper des insuffisances de l'organisation judiciaire (ATF 130 IV 54 consid. 3.3.3 ; TF 6S.66/2005 précité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