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347 vom 23. Mai 2017</w:t>
      </w:r>
    </w:p>
    <w:p>
      <w:r>
        <w:t>VD Tribunal cantonal, 2017-05-23, FR</w:t>
      </w:r>
    </w:p>
    <w:p>
      <w:r>
        <w:rPr>
          <w:b/>
        </w:rPr>
        <w:t xml:space="preserve">Quelle: </w:t>
      </w:r>
      <w:r>
        <w:t>https://mcp.opencaselaw.ch/entscheid/vd_findinfo_Jug___2017___347</w:t>
      </w:r>
    </w:p>
    <w:p>
      <w:r>
        <w:t>FR: VD_FINDINFO Jug / 2017 / 347 du 23 mai 2017</w:t>
      </w:r>
    </w:p>
    <w:p>
      <w:r>
        <w:t>IT: VD_FINDINFO Jug / 2017 / 347 del 23 maggio 2017</w:t>
      </w:r>
    </w:p>
    <w:p>
      <w:pPr>
        <w:pStyle w:val="Heading2"/>
      </w:pPr>
      <w:r>
        <w:t>Regeste</w:t>
      </w:r>
    </w:p>
    <w:p>
      <w:r>
        <w:t>FAUX INTELLECTUEL DANS LES TITRES, TENTATIVE{DROIT PÉNAL}, ESCROQUERIE | 146 al. 1 CP, 22 ad 146 CP, 251 ch. 1 CP</w:t>
      </w:r>
    </w:p>
    <w:p>
      <w:pPr>
        <w:pStyle w:val="Heading2"/>
      </w:pPr>
      <w:r>
        <w:t>Erwägungen</w:t>
      </w:r>
    </w:p>
    <w:p>
      <w:r>
        <w:rPr>
          <w:b/>
        </w:rPr>
        <w:t>E. 1</w:t>
      </w:r>
    </w:p>
    <w:p>
      <w:r>
        <w:t>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consid. 3.1).</w:t>
      </w:r>
    </w:p>
    <w:p>
      <w:r>
        <w:rPr>
          <w:b/>
        </w:rPr>
        <w:t>E. 1.1</w:t>
      </w:r>
    </w:p>
    <w:p>
      <w:r>
        <w:t>Interjeté dans les formes et délai légaux (art. 399 CPP) par une partie ayant la qualité pour recourir contre le jugement de première instance qui a clos la procédure (art. 398 al.</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w:t>
      </w:r>
    </w:p>
    <w:p>
      <w:r>
        <w:rPr>
          <w:b/>
        </w:rPr>
        <w:t>E. 1.3</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Code de procédure pénale suisse, Bâle 2011,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 La constatation des faits est erronée au sens de l’art. 398 al. 3 CPP, précité,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CAPE 19 décembre 2016/469 consid. 2.2).</w:t>
      </w:r>
    </w:p>
    <w:p>
      <w:r>
        <w:rPr>
          <w:b/>
        </w:rPr>
        <w:t>E. 2.1</w:t>
      </w:r>
    </w:p>
    <w:p>
      <w:r>
        <w:t>L’appelante conteste sa condamnation pour tentative d’escroquerie et faux dans les titres.</w:t>
      </w:r>
    </w:p>
    <w:p>
      <w:r>
        <w:rPr>
          <w:b/>
        </w:rPr>
        <w:t>E. 2.2</w:t>
      </w:r>
    </w:p>
    <w:p>
      <w:r>
        <w:t>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au sens de l'art. 146 CP, lorsque l'auteur recourt à un édifice de mensonges, à des manouvres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 4.3; ATF 128 IV 18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 2).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Il y a tentative d'escroquerie si l'auteur, agissant intentionnellement et dans un dessein d'enrichissement, a commencé l'exécution de cette infraction sans poursuivre son exécution jusqu'à son terme ou que le résultat dommageable ne se produit pas (cf. art. 22 CP).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3b; TF 6B_423/2013 du 27 juin 2013 consid. 3.1).</w:t>
      </w:r>
    </w:p>
    <w:p>
      <w:r>
        <w:rPr>
          <w:b/>
        </w:rPr>
        <w:t>E. 2.3</w:t>
      </w:r>
    </w:p>
    <w:p>
      <w:r>
        <w:t>Selon l'art. 251 al.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Cette disposition vise aussi bien un titre faux ou la falsification d'un titre (faux matériel) qu'un titre mensonger (faux intellectuel) (TF 6B_447/2014 du 30 octobre 2014 consid. 1.2.1). La notion de titre utilisé par l'art. 251 CP est définie par l'art. 110 al. 4 CP. Selon cette disposition, sont des titres tous les écrits destinés et propres à prouver un fait ayant une portée juridique et tous les signes destinés à prouver un tel fait. L'enregistrement sur des supports de données et sur des supports-images est assimilé à un écrit s'il a la même destination. Les infractions du droit pénal relatives aux titres protègent la confiance qui, dans les relations juridiques, est placée dans un titre comme moyen de preuve (ATF 138 IV 130 consid. 2.1). C'est pourquoi parmi les titres on ne trouve notamment que les écrits destinés et propres à prouver un fait ayant une portée juridique. Le caractère de titre d'un écrit est relatif. Par certains aspects, il peut avoir ce caractère, par d'autres non (ATF 138 IV 130 consid. 2.2.1; ATF 132 IV 57 consid. 5.1). La destination et l'aptitude à prouver un fait précis d'un document peuvent résulter directement de la loi, des usages commerciaux ou du sens et de la nature dudit document (ATF 138 IV 130 consid. 2.2.1 ; ATF 132 IV 57 consid. 5.1 ; TF 6B_1229/2014 du 7 avril 2016 consid. 2.2).</w:t>
      </w:r>
    </w:p>
    <w:p>
      <w:r>
        <w:rPr>
          <w:b/>
        </w:rPr>
        <w:t>E. 2.4</w:t>
      </w:r>
    </w:p>
    <w:p>
      <w:r>
        <w:t>L'appelante conteste les faits retenus à son encontre par le Tribunal de police. Elle explique qu’elle se serait rendue, le 16 décembre 2015, à la Poste avec un montant de 6'000 fr. dans son porte-monnaie et divers bulletins de versement, que l’employée postale lui aurait annoncé le montant total des paiements à effectuer, qu’elle aurait été frappée par la somme annoncée et qu’elle aurait souhaité vérifier les bulletins de versement en question afin de refaire elle-même le calcul. Etant donné qu’elle avait déjà procédé au paiement d’un montant de 1'550 fr. (soit 1'500 fr. de garantie plus 50 fr. de frais de dossier) pour le compte de la régie Z.________ SA, elle aurait alors constaté qu’il y avait des bulletins de versement en trop, pour les montants de 1'476 fr. et 3'618 francs. Elle aurait demandé à l’employée postale de tout annuler, puis aurait quitté la Poste pour y revenir après vérification de ses factures. Dans sa déclaration d’appel, la prévenue ne conteste pas s’être rendue dans l’intervalle dans les locaux de la régie Z.________ SA, mais soutient qu’il s’agissait pour elle de demander des explications pour les bulletins surnuméraires en cause, remettre la quittance de paiement du montant de 1'550 fr., et récupérer les clés de l’appartement convoité. Elle aurait alors essuyé un refus de la régie, et reçu des menaces de poursuites judiciaires. La Cour de céans considère que la version des faits présentée par l’appelante dans sa déclaration d’appel ne revêt aucune crédibilité, pour les raisons qui suivent. D’une part, cette version ne correspond pas aux premières déclarations de l’appelante. En effet, lors de son audition de police du 16 décembre 2015, celle-ci a initialement expliqué qu’arrivée au guichet de la Poste, il manquait 150 fr. pour régler la facture de 1'476 fr., qu’elle avait demandé à la guichetière, qui avait déjà apposé le sceau postal sur le récépissé litigieux, de garder ses affaires pour lui permettre de se rendre à la banque UBS pour retirer ce qui manquait, que l’employée postale avait refusé, de sorte que la prévenue avait gardé toute ses affaires, y compris l’argent et le récépissé de la quittance des 1'476 francs. Ensuite, la prévenue a affirmé qu’en se rendant à la banque pour retirer l’argent manquant, elle avait rencontré une employée de la régie Z.________ SA, laquelle lui avait demandé si le dernier versement pour récupérer les clés de l’appartement avait été fait, et, qu’étant prise au dépourvu et ayant besoin de l’appartement, elle lui avait présenté le récépissé relatif au paiement des 1'476 fr., de sorte que l’employée de la régie lui avait dit qu’elle pouvait passer chercher les clés de l’appartement. La prévenue a encore expliqué qu’arrivée à l’UBS, elle avait remarqué que le solde de son compte était inférieur à 150 fr., qu’elle était par conséquent retournée à la Poste pour faire annuler le versement, puis qu’elle était repartie voir l’employée de Z.________ SA pour lui expliquer ce qui s’était passé (cf. P. 6). Contrairement à ses allégations, formulées pour la première fois dans sa déclaration d’appel, on ne saurait croire que l’appelante aurait été contrainte dans le cadre de sa première déposition, dès lors qu’elle ne s’est jamais plainte, auparavant et tout au long de la procédure, des comportements de la police. Partant, la Cour de céans ne voit aucun motif d’écarter du dossier les premières déclarations de la prévenue. D’autre part, l’employée postale concernée a déclaré en cours d’enquête qu’elle avait accueilli la prévenue le 16 décembre 2015 au guichet, laquelle était arrivée avec son livret de récépissés jaune et trois bulletins de versement pour la régie Z.________ SA, qu’après avoir timbré les récépissés et avoir fait des duplicatas dans le livret, elle avait demandé à la prévenue son total, qu’en se rendant compte qu’il y avait une grosse différence entre son total et celui de l’intéressée, elle lui avait montré le récépissé relatif au paiement des 1'476 fr. correspondant à la somme faisant défaut, que la prévenue avait saisi la quittance et l’avait placée hors de sa vision, qu’elle lui avait demandé avec insistance de lui rendre cette quittance, en vain, qu’elle avait dès lors annulé les transactions en cours, que la prévenue était repassée une heure plus tard pour lui demander de tout annuler et lui avait alors rendu le récépissé qui avait disparu peu avant. L’employée postale a encore déclaré qu’elle avait contacté la régie Z.________ SA pour lui demander si la prévenue s’était présentée avec le récépissé relatif au paiement des 1'476 fr., et que la régie le lui avait confirmé (PV aud. 1, R 4). La Cour de céans ne voit aucun motif de douter des déclarations de l’employée postale, celle-ci n’ayant aucun intérêt à mentir ou accabler une cliente. Par ailleurs, la version des faits de l’employée postale est corroborée par la régie Z.________ SA, que la police a contactée téléphoniquement le 18 décembre 2015 dans le cadre de l’instruction. La régie a confirmé que la prévenue s’était présentée le 16 décembre 2015 dans la fin de matinée avec un récépissé tamponné qui validait la location de l’appartement pré-réservé (cf. P. 9). Enfin, les images de vidéo-surveillance de la Poste du 16 décembre 2015 confirment que la prévenue a bel et bien dérobé le récépissé relatif au paiement des 1’476 fr., qu’elle a présenté par la suite à la régie Z.________ SA. Au regard de l’ensemble de ces éléments, on doit admettre que les faits se sont déroulés tels que décrits dans l’acte d’accusation et retenus par le Tribunal de police. Il n’y a par conséquent pas lieu de réentendre la fille de l’appelante, dont il faut déjà considérer les déclarations lors des débats de première instance avec circonspection, vu les liens de parenté avec la prévenue. En outre, on ne discerne pas en quoi une expertise graphologique ainsi que l’audition du responsable de la Poste pourraient être utiles eu égard aux faits reprochés, dûment établis. Il en va de même des autres témoins dont l’appelante a sollicité l’audition. Partant, les réquisitions de preuve présentées par l’intéressée dans le cadre de son appel doivent être rejetées, sa culpabilité ne faisant aucun doute pour la Cour de céans.</w:t>
      </w:r>
    </w:p>
    <w:p>
      <w:r>
        <w:rPr>
          <w:b/>
        </w:rPr>
        <w:t>E. 2.5</w:t>
      </w:r>
    </w:p>
    <w:p>
      <w:r>
        <w:t>Ainsi, à l’instar du Tribunal de police, dont la motivation claire et convaincante exposée en pages 7 et 8 du jugement entrepris, conforme à la teneur du dossier, sera entièremen t reprise (art. 82 al. 4 CPP), la Cour de céans considère qu’à raison des faits retenus, l’appelante s’est rendue coupable de tentative d’escroquerie et de faux dans les titres.</w:t>
      </w:r>
    </w:p>
    <w:p>
      <w:r>
        <w:rPr>
          <w:b/>
        </w:rPr>
        <w:t>E. 3</w:t>
      </w:r>
    </w:p>
    <w:p>
      <w:r>
        <w:t>Ayant conclu à son acquittement, P. L.________ ne conteste pas la peine en tant que telle. Examinée d’office, la Cour de céans considère que la peine prononcée a été fixée en application des critères légaux à charge et à décharge et conformément à la situation personnelle de l’appelante. Adéquate, la peine pécuniaire de 90 jours-amende, à 10 fr. le jour, doit être confirmée.</w:t>
      </w:r>
    </w:p>
    <w:p>
      <w:r>
        <w:rPr>
          <w:b/>
        </w:rPr>
        <w:t>E. 4</w:t>
      </w:r>
    </w:p>
    <w:p>
      <w:r>
        <w:t>En définitive, l’appel de P. L.________ doit être rejeté et le jugement attaqué confirmé. Vu l’issue de la cause, les frais de la procédure d’appel, constitués en l’espèce de l’émolument de jugement, par 1’610 fr. (art. 21 al. 1 et 2 TFIP [tarif des frais de procédure et indemnités en matière pénale du 28 septembre 2010 ; RSV 312.03.1]), doivent être mis par moitié – compte tenu de sa situation personnelle – à la charge de P. L.________, qui succombe (art. 428 al. 1 CPP), le solde étant laissé à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