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306 vom 6. März 2017</w:t>
      </w:r>
    </w:p>
    <w:p>
      <w:r>
        <w:t>VD Tribunal cantonal, 2017-03-06, FR</w:t>
      </w:r>
    </w:p>
    <w:p>
      <w:r>
        <w:rPr>
          <w:b/>
        </w:rPr>
        <w:t xml:space="preserve">Quelle: </w:t>
      </w:r>
      <w:r>
        <w:t>https://mcp.opencaselaw.ch/entscheid/vd_findinfo_Jug___2017___306</w:t>
      </w:r>
    </w:p>
    <w:p>
      <w:r>
        <w:t>FR: VD_FINDINFO Jug / 2017 / 306 du 6 mars 2017</w:t>
      </w:r>
    </w:p>
    <w:p>
      <w:r>
        <w:t>IT: VD_FINDINFO Jug / 2017 / 306 del 6 marzo 2017</w:t>
      </w:r>
    </w:p>
    <w:p>
      <w:pPr>
        <w:pStyle w:val="Heading2"/>
      </w:pPr>
      <w:r>
        <w:t>Regeste</w:t>
      </w:r>
    </w:p>
    <w:p>
      <w:r>
        <w:t>MACHINE DE CHANTIER, ACCIDENT PROFESSIONNEL, ORDONNANCE SUR LES GRUES, LÉSION CORPORELLE PAR NÉGLIGENCE, LÉSION CORPORELLE GRAVE | 125 CP, 9 OPA</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du rapport d’expertise). Selon l’expert, l’ouvrier devrait monter à l’arrière de la palette pour décrocher les élingues et le vent devrait souffler à 55 km/h perpendiculairement à la charge afin que celle-ci bascule. Or, tant durant l’instruction qu’aux débats de première instance, la victime a déclaré qu’elle était en train de se diriger en direction du bâtiment où se trouvait son chef lorsque la palette a basculé (PV aud. 1, p. 2 ; jugt., p. 12). Elle quittait donc les lieux, si bien qu’elle ne pouvait pas se trouver à l’arrière de la palette. En outre, comme l’a retenu le premier juge, plusieurs palettes plus légères avaient déjà été déposées au sol, ce qui permet d’exclure que le vent soit la cause de la chute de la palette. Enfin, l’appelant a lui-même déclaré qu’il « y avait une petite bise mais ce n’est pas ça qui a fait tomber la palette » (jugt., p. 15). Ainsi, c’est à juste titre que cette hypothèse a été écartée par le premier juge. La seconde hypothèse expose que lors du relevage du crochet de la grue, une des deux sangles se serait malencontreusement crochée à une des traverses inférieures de la palette (hypothèse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il ressort du rapport d’expertise du 2 février 2016 (P. 57) que quatre hypothèses pouvaient expliquer le basculement de la palette, mais que seules deux hypothèses ont été retenues comme plausibles. La première hypothèse expose que le vent aurait pu faire basculer la palette (hypothèse</w:t>
      </w:r>
    </w:p>
    <w:p>
      <w:r>
        <w:rPr>
          <w:b/>
        </w:rPr>
        <w:t>E. 4</w:t>
      </w:r>
    </w:p>
    <w:p>
      <w:r>
        <w:t>L’appelant nie avoir commis une quelconque faute et conclut à sa libération de l’infraction de lésions corporelles graves par négligence.</w:t>
      </w:r>
    </w:p>
    <w:p>
      <w:r>
        <w:rPr>
          <w:b/>
        </w:rPr>
        <w:t>E. 4.1</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4.1.1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 ATF 134 IV 255 consid. 4.2.3). C'est en fonction de la situation personnelle de l'auteur que l'on doit apprécier son devoir de prudence (ATF 135 IV 56 consid. 2.1 ; ATF 133 IV 158 consid. 5.1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 ATF 134 IV 255 consid. 4.2.3 ; ATF 129 IV 119 consid. 2.1).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w:t>
      </w:r>
    </w:p>
    <w:p>
      <w:r>
        <w:rPr>
          <w:b/>
        </w:rPr>
        <w:t>E. 4.1.1.1</w:t>
      </w:r>
    </w:p>
    <w:p>
      <w:r>
        <w:t>Pour déterminer plus précisément les devoirs imposés par la prudence, on peut se référer à des normes édictées par l'ordre juridique pour assurer la sécurité et éviter les accidents. Aux termes de l’art. 9 OPA (Ordonnance sur la prévention des accidents du 19 décembre 1983 ; RS 832.30),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(al. 1). Cette disposition institue ainsi une obligation de collaborer entre les différentes entreprises, qui tient compte des contingences d’organisation du travail résultant de la complexité technique, qui requiert une répartition des tâches et une spécialisation des compétences. La jurisprudence admet, en règle générale, que chacun n’engage sa responsabilité pénale, pour le défaut d’accomplissement d’un acte, que dans les limites de ses tâches et compétences (ATF 113 IV 168 consid. 6d). Par ailleurs, 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à ce que son collègue respectera ses devoirs, tant qu'aucune circonstance ne laisse présumer le contraire. En cas de répartition verticale, la doctrine subordonne le principe de la confiance à la cura in eligendo, custodiendo et instruendo. ll n'y a pas de raison de s'écarter de ces principes lorsque les employés dépendent d'employeurs différents, appelés à collaborer à un même ouvrage en raison de la spécialisation de leurs tâches respectives (TF 6B_675/2007 du 20 juin 2008 consid. 2.2.2.1 et les réf. citées). Conformément à l’art. 11 al. 1 OPA, le travailleur est tenu de suivre les directives de l'employeur en matière de sécurité au travail et d'observer les règles de sécurité généralement reconnues.</w:t>
      </w:r>
    </w:p>
    <w:p>
      <w:r>
        <w:rPr>
          <w:b/>
        </w:rPr>
        <w:t>E. 4.1.1.2</w:t>
      </w:r>
    </w:p>
    <w:p>
      <w:r>
        <w:t>S'agissant d'un accident commis au moyen d’une grue, il convient de se référer aux règles de sécurité des travailleurs lors de l'utilisation des grues. Aux termes de l’art. 5 al. 1 OGrues (Ordonnance sur les conditions de sécurité régissant l’utilisation des grues ; RS 832.312.15), les travaux de levage au moyen de grues ne peuvent être exécutés que par des personnes qui : sont en mesure, compte tenu de leur état physique et psychique, de garantir la conduite d'une grue en toute sécurité (let. a), peuvent se faire comprendre sur le lieu de travail (let. b) et sont instruites sur la manière d'utiliser une grue (let. c). L’art. 6 OGrues prescrit que les charges doivent être assurées pour le levage, arrimées aux crochets des grues (élinguées) et déposées après le levage, de sorte qu'elles ne puissent pas se renverser, tomber ou glisser et par là constituer un danger (al. 1). Les systèmes de préhension des charges et les moyens de suspension doivent être adaptés à chaque transport et être en parfait état de service (al. 2). Les personnes qui élinguent des charges doivent être instruites sur la manière de procéder (al. 3).</w:t>
      </w:r>
    </w:p>
    <w:p>
      <w:r>
        <w:rPr>
          <w:b/>
        </w:rPr>
        <w:t>E. 4.1.2</w:t>
      </w:r>
    </w:p>
    <w:p>
      <w:r>
        <w:t>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 - plan tous les autres facteurs qui ont contribué à amener celui-ci, notamment le comportement de l'auteur (TF 6B_315/2016 du 1 er novembre 2016 consid. 5 et les références citées).</w:t>
      </w:r>
    </w:p>
    <w:p>
      <w:r>
        <w:rPr>
          <w:b/>
        </w:rPr>
        <w:t>E. 4.2.1</w:t>
      </w:r>
    </w:p>
    <w:p>
      <w:r>
        <w:t>Lésions corporelles Au vu de la nature des lésions subies par H.________, celles-ci doivent être qualifiées de graves, ce qui n’est pas contesté.</w:t>
      </w:r>
    </w:p>
    <w:p>
      <w:r>
        <w:rPr>
          <w:b/>
        </w:rPr>
        <w:t>E. 4.2.2</w:t>
      </w:r>
    </w:p>
    <w:p>
      <w:r>
        <w:t>Violation du devoir de prudence En l’espèce, l’appelant bénéficie du permis de grutier depuis 1994. En cette qualité, il était seul à pouvoir manœuvrer la grue et à connaître les dispositions minimales de sécurité quant à son utilisation. Il lui appartenait ainsi de s’assurer que le crochet de la grue soit libre de toutes charges lors de la manœuvre de levage, une fois la palette déposée au sol, en contrôlant visuellement que le dispositif d’élingage ne s’accroche pas (cf. P. 57, p. 4). Or, comme on l’a vu, l’appelant ne pouvait pas voir simultanément les quatre points d’accrochage lors de la levée de la grue. Il a du reste indiqué avoir été alors concentré sur les crochets de la chaîne (PV aud. 2, p. 3). En outre, comme l’a relevé le premier juge, l’appelant n’a pas instruit correctement le plaignant sur la manière de procéder sans risque à l’élingage. Il est vrai que trois autres employés étaient présents lors de la pose des premières palettes et que tout s’est bien déroulé. Toutefois, à ce moment-là, le plaignant se trouvait sur le camion et n’a pas procédé lui-même au détachement des chaînes et sangles. Lorsque l’appelant s’est retrouvé en présence du seul plaignant, il aurait dû s’assurer que celui-ci comprenait ce qu’il avait à faire. Ne parlant pas la même langue, il a uniquement communiqué par geste avec la victime, ce qui n’était pas suffisant. C’était par ailleurs la première fois que H.________ œuvrait à une telle tâche sur un chantier. Enfin, l’appelant ne s’est pas assuré que le plaignant soit dans un périmètre de sécurité lors de la manœuvre de levage de la grue, ce qui aurait pu permettre d’éviter que le plaignant se blesse grièvement. Il résulte de ce qui précède que l’appelant n’a pas instruit de manière adéquate le plaignant conformément aux art. 5 et 6 OGrues, violant ainsi son devoir de prudence. En ne prenant pas toutes les mesures nécessaires au regard des circonstances pour prévenir tout dommage, P.________ a fait preuve d'une inattention ou d'un manque d'effort blâmable, si bien que la violation du devoir de prudence est fautive.</w:t>
      </w:r>
    </w:p>
    <w:p>
      <w:r>
        <w:rPr>
          <w:b/>
        </w:rPr>
        <w:t>E. 4.2.3</w:t>
      </w:r>
    </w:p>
    <w:p>
      <w:r>
        <w:t>Lien de causalité Comme l’a retenu le premier juge, le lien de causalité naturelle est incontestable. C’est en effet la manœuvre de levage de l’appelant qui a provoqué le renversement de la palette sur la victime. En outre, le comportement fautif de l’appelant, qui ne s’est pas assuré que les élingues étaient libres de toute prise au moment du levage et que le plaignant était dans un périmètre de sécurité, était incontestablement susceptible de causer un accident du genre de celui qui s’est produit. En outre, aucune faute apte à entraîner la rupture du lien de causalité adéquate ne saurait être reprochée au plaignant, lequel était novice et n’avait pas reçu d’instructions spécifiques sur la manière d’élinguer les charges lors de la pose des palettes.</w:t>
      </w:r>
    </w:p>
    <w:p>
      <w:r>
        <w:rPr>
          <w:b/>
        </w:rPr>
        <w:t>E. 4.2.4</w:t>
      </w:r>
    </w:p>
    <w:p>
      <w:r>
        <w:t>Sur le vu des éléments qui précèdent, c’est à juste titre que le Tribunal de police a reconnu P.________ coupable de lésions corporelles graves par négligence.</w:t>
      </w:r>
    </w:p>
    <w:p>
      <w:r>
        <w:rPr>
          <w:b/>
        </w:rPr>
        <w:t>E. 5</w:t>
      </w:r>
    </w:p>
    <w:p>
      <w:r>
        <w:t>L’appelant, qui concluait à son acquittement, ne conteste pas la peine en tant que telle. Examinée d’office, la Cour d’appel considère que la peine pécuniaire prononcée a été fixée en application des critères légaux à charge et à décharge et conformément à la culpabilité légère et à la situation personnelle de P.________. La peine pécuniaire de 30 jours-amende à 40 fr. le jour-amende, prononcée par le premier juge, est adéquate et doit être confirmée. Il en va de même du sursis assortissant cette peine, le pronostic étant entièrement favorable. Cette peine réprimant suffisamment le comportement de l’appelant, il n’y a pas lieu de prononcer une amende additionnelle. Le chiffre III du dispositif du jugement attaqué sera pas conséquent supprimé.</w:t>
      </w:r>
    </w:p>
    <w:p>
      <w:r>
        <w:rPr>
          <w:b/>
        </w:rPr>
        <w:t>E. 6</w:t>
      </w:r>
    </w:p>
    <w:p>
      <w:r>
        <w:t>Compte tenu de la confirmation de la condamnation du prévenu, il n’y a pas matière à revoir la mise à sa charge des frais judiciaires de première instance (art. 426 al. 1 CPP) ainsi que les conclusions civiles allouées à H.________, l’appelant n’ayant du reste pas motivé cette conclusion. Aucune indemnité au sens de l’art. 429 CPP ne sera en outre allouée.</w:t>
      </w:r>
    </w:p>
    <w:p>
      <w:r>
        <w:rPr>
          <w:b/>
        </w:rPr>
        <w:t>E. 7</w:t>
      </w:r>
    </w:p>
    <w:p>
      <w:r>
        <w:t>En définitive, l'appel de P.________ doit être très partiellement admis et le jugement rendu le 6 mars 2017 par le Tribunal de police de l’arrondissement de Lausanne modifié dans le sens des considérants. Il sera intégralement confirmé pour le surplus. Vu l'issue de la cause, les frais de la procédure d'appel, constitués en l’espèce de l'émolument du présent arrêt, par 1’940 fr. (art. 21 al. 1 et 2 TFIP [Tarif des frais de procédure et indemnités en matière pénale du 28 septembre 2010 ; RSV 312.03.1]) seront mis par quatre cinquièmes à la charge de P.________, le solde étant laissé à la charge de l’Etat. H.________ ayant obtenu gain de cause, il a droit à une indemnité pour l’exercice raisonnable de ses droits de procédure en appel (art. 433 CPP). Son conseil de choix a produit une liste des opérations dont il n’y a pas lieu de s’écarter (P. 101). L’indemnité due pour la procédure d’appel sera ainsi arrêtée à 1’546 fr. 55, correspondant à 5 heures et 36 minutes d’activités à 250 fr., des débours pour 32 fr., plus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