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305 vom 27. März 2017</w:t>
      </w:r>
    </w:p>
    <w:p>
      <w:r>
        <w:t>VD Tribunal cantonal, 2017-03-27, FR</w:t>
      </w:r>
    </w:p>
    <w:p>
      <w:r>
        <w:rPr>
          <w:b/>
        </w:rPr>
        <w:t xml:space="preserve">Quelle: </w:t>
      </w:r>
      <w:r>
        <w:t>https://mcp.opencaselaw.ch/entscheid/vd_findinfo_Jug___2017___305</w:t>
      </w:r>
    </w:p>
    <w:p>
      <w:r>
        <w:t>FR: VD_FINDINFO Jug / 2017 / 305 du 27 mars 2017</w:t>
      </w:r>
    </w:p>
    <w:p>
      <w:r>
        <w:t>IT: VD_FINDINFO Jug / 2017 / 305 del 27 marzo 2017</w:t>
      </w:r>
    </w:p>
    <w:p>
      <w:pPr>
        <w:pStyle w:val="Heading2"/>
      </w:pPr>
      <w:r>
        <w:t>Regeste</w:t>
      </w:r>
    </w:p>
    <w:p>
      <w:r>
        <w:t>CIRCULATION ROUTIÈRE{DROIT DE LA CIRCULATION ROUTIÈRE}, DÉLIT DE CHAUFFARD, FIXATION DE LA PEINE, RÉVOCATION DU SURSIS | 42 al. 1 CP, 42 al. 4 CP, 46 CP, 47 CP, 90 al. 4 LCR</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F.________ est recevable. Il en va de même de l'appel joint du Ministère public.</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est toujours applicable notamment lorsque la vitesse maximale autorisée a été dépassée d’au moins 60 km/h, là où la limite était fixée à 80 km/h (al. 4 let. c). La volonté claire et expresse du législateur vise à punir sévèrement les dépassements importants de la limitation de vitesse au sens de l'art. 90 al. 4 LCR et à restreindre le pouvoir d'appréciation du juge quant à la définition du chauffard et à la peine, étant précisé que l'intention doit être donnée. Par son texte et sa définition, l'art. 90 al. 3 et 4 LCR part de l'idée que chaque dépassement de la vitesse maximale au sens de l'al.</w:t>
      </w:r>
    </w:p>
    <w:p>
      <w:r>
        <w:rPr>
          <w:b/>
        </w:rPr>
        <w:t>E. 3.1</w:t>
      </w:r>
    </w:p>
    <w:p>
      <w:r>
        <w:t>Selon l’art. 90 LCR (loi fédérale sur la circulation routière; RS 741.01), celui qui, par une violation grave d'une règle de la circulation, crée un sérieux danger pour la sécurité d'autrui ou en prend le risque est puni d'une peine privative de liberté de trois ans au plus ou d'une peine pécuniaire (al. 2).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L’al.</w:t>
      </w:r>
    </w:p>
    <w:p>
      <w:r>
        <w:rPr>
          <w:b/>
        </w:rPr>
        <w:t>E. 3.2</w:t>
      </w:r>
    </w:p>
    <w:p>
      <w:r>
        <w:t>L’art. 47 CP (Code pénal suisse du 21 décembre 1937;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L'art. 90 al. 3 et 4 LCR érige au rang de crime la violation grave qualifiée intentionnelle d'une règle de la circulation routière en la punissant d'une peine privative de liberté de un à quatre ans. Du point de vue subjectif, outre les motivations et les buts de l'auteur, l'intensité de sa volonté délictuelle doit être prise en compte, conformément aux principes découlant de l'art. 47 CP rappelés ci-dessus. Or la détermination de l'intensité de la volonté délictuelle dépend du caractère intentionnel de l'acte. Aussi, la fixation de la peine dans le cadre légal fixé par l'art. 90 al. 3 et 4 LCR implique nécessairement l'examen des éléments subjectifs de l'infraction, la culpabilité étant une composante de la peine (TF 6B_165/2016 du 1 er juin 2016, consid. 9.1).</w:t>
      </w:r>
    </w:p>
    <w:p>
      <w:r>
        <w:rPr>
          <w:b/>
        </w:rPr>
        <w:t>E. 3.3</w:t>
      </w:r>
    </w:p>
    <w:p>
      <w:r>
        <w:t>En l'espèce, F.________ est condamné pour violation grave qualifiée des règles sur la circulation routière (délit de chauffard selon la législation Via Sicura au sens de l'art. 90 al. 3 et 4 LCR) et pour dénonciation calomnieuse. Il soutient cependant que les premiers juges auraient dû tenir compte du fait que le dépassement de vitesse incriminé a eu lieu sur une route sèche, rectiligne et à double voie, de jour, lorsque le trafic était de faible densité et que la visibilité était étendue. En l'occurrence, l'appelant a largement dépassé la limitation de vitesse et il n'y a en l'état aucune circonstance particulière permettant de retenir l'absence d'intention, de sorte qu'il s'est bien rendu coupable d'infraction grave qualifiée aux règles de la circulation routière, ce qu'il ne conteste au demeurant pas. Cela étant, même en tenant compte des circonstances invoquées (route sèche, tracé rectiligne, etc.) dans le cadre de la fixation de la peine (art. 47 al. 2 CP), force est de constater que l'intensité de sa volonté délictuelle reste importante, tout comme la mise en danger du bien juridique protégé. L'appelant fait encore valoir que sa volonté délictuelle serait encore amoindrie, dès lors qu'il est domicilié en France, Pays dans lequel il n'existe pas une législation criminalisant les excès de vitesse importants. Cet argument doit être rejeté. En effet, F.________ a commis un excès de vitesse d'une telle importance (près du double de la vitesse autorisée) qu'il ne pouvait qu'être conscient de l'illicéité de son comportement. Ainsi et pour le surplus, il importe peu qu'il ait ignoré la peine encourue en Suisse pour un tel excès. Comme l'ont relevé les premiers juges, la culpabilité de l'appelant est lourde. Au demeurant, en s'étendant sur les circonstances de la commission de l'infraction, il perd de vue que la rigueur de la sanction repose avant tout sur le fait qu'il a gravement récidivé après avoir été condamné par le Ministère public genevois moins de six mois auparavant pour infraction grave à la LCR, en raison d'un excès de vitesse grave au sens de l'art. 90 al. 2 LCR. L'infraction en cause entre de surcroît en concours avec la dénonciation calomnieuse, commise avec une absence particulière de scrupules, dans le but de se soustraire à toute poursuite pénale et à faire accuser à sa place un tiers inconnu de lui mais qu'il savait innocent, allant jusqu'à transmettre à la police une copie de son permis de conduire. Il convient également de tenir compte de son absence de collaboration jusqu'à l'issue de la procédure de première instance. Ainsi, en définitive, la peine privative de liberté de 18 mois prononcée a été fixée en application des critères légaux à charge et à décharge. Elle tient également suffisamment compte de la situation personnelle de F.________ et de l'effet de la peine sur son avenir, conformément à l’art. 47 CP. Quant à la peine privative de liberté de 24 mois requise par le Ministère public, elle serait manifestement disproportionnée au regard de ces critères, de sorte que l'appel joint doit être rejeté, la peine étant qualifiée d'adéquate.</w:t>
      </w:r>
    </w:p>
    <w:p>
      <w:r>
        <w:rPr>
          <w:b/>
        </w:rPr>
        <w:t>E. 4</w:t>
      </w:r>
    </w:p>
    <w:p>
      <w:r>
        <w:t>L'appelant fait encore valoir que les conditions du sursis seraient réunies et, en particulier, que la révocation du sursis octroyé le</w:t>
      </w:r>
    </w:p>
    <w:p>
      <w:r>
        <w:rPr>
          <w:b/>
        </w:rPr>
        <w:t>E. 4.1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L'art. 42 CP n'exige pas l'existence d'un pronostic favorable quant au comportement futur du condamné. Le sursis est refusé non pas lorsqu'il est impossible d'établir un pronostic favorable, mais bien parce qu'un pronostic défavorable existe. Le sursis est la règle dont on ne peut en principe s'écarter qu'en présence d'un pronostic défavorable. En cas d'incertitude, le sursis doit primer (ATF 134 IV 1 consid. 4.2.2 in fine).</w:t>
      </w:r>
    </w:p>
    <w:p>
      <w:r>
        <w:rPr>
          <w:b/>
        </w:rPr>
        <w:t>E. 4.2</w:t>
      </w:r>
    </w:p>
    <w:p>
      <w:r>
        <w:t>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(TF 6B_1165/2013 du 1 er mai 2014 et le références citées).</w:t>
      </w:r>
    </w:p>
    <w:p>
      <w:r>
        <w:rPr>
          <w:b/>
        </w:rPr>
        <w:t>E. 4.3</w:t>
      </w:r>
    </w:p>
    <w:p>
      <w:r>
        <w:t>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 sursis qualitativement partiel » (ATF 134 1V 1 consid.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134 IV 60 consid. 7.3.2).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consid. 3.4.4).</w:t>
      </w:r>
    </w:p>
    <w:p>
      <w:r>
        <w:rPr>
          <w:b/>
        </w:rPr>
        <w:t>E. 4.4</w:t>
      </w:r>
    </w:p>
    <w:p>
      <w:r>
        <w:t>En l'espèce, les premiers juges ont prononcé une peine ferme et révoqué le sursis octroyé par le Ministère public genevois le</w:t>
      </w:r>
    </w:p>
    <w:p>
      <w:r>
        <w:rPr>
          <w:b/>
        </w:rPr>
        <w:t>E. 5</w:t>
      </w:r>
    </w:p>
    <w:p>
      <w:r>
        <w:t>mars 2014 par le Ministère public de Genève contre F.________ et ordonne l’exécution de la peine pécuniaire de 30 jours-amende à 30 fr. le jour-amende; IV. fixe l’indemnité du défenseur d’office de F.________, l’avocat Antoine Eigenmann, à 761 fr. 10, TVA et débours compris, pour la période du 22 décembre 2016 au 23 mars 2017; VI.(sic);met les frais par 6'135 fr. 40 à la charge de F.________, montant qui comprend les indemnités de 1'474 fr. 30 et de 761 fr. 10 allouées à l’avocat Antoine Eigenmann; VII.(sic)dit que le remboursement à l’Etat des indemnités de 1'474 fr. 30 et de 761 fr. 10 allouées à l’avocat Antoine Eigenmann, défenseur d’office de F.________, sera exigible pour autant que la situation économique de F.________ se soit améliorée." III. Une indemnité de défenseur d'office pour la procédure d'appel d'un montant de 1'644 fr. 30 , TVA et débours inclus, est allouée à Me Antoine Eigenmann. IV. Les frais d'appel, par 3'364 fr. 30, y compris l'indemnité allouée au défenseur d'office au chiffre III ci-dessus, sont mis par un quart à la charge de F.________, le solde étant laissé à la charge de l’Etat. V. F.________ ne sera tenu de rembourser à l’Etat le montant de l’indemnité en faveur de son défenseur d’office prévue au chiffre III ci-dessus que lorsque sa situation financière le permettra . Le président :              Le greffier : Du Le jugement qui précède, dont le dispositif a été communiqué par écrit aux intéressés le 28 juillet 2017, est notifié, par l'envoi d'une copie complète, à : - Me Antoine Eigenmann, avocat (pour F.________), - Ministère public central, et communiqué à : - M. le Président du Tribunal correctionnel de l'arrondissement de la Broye et du Nord vaudois, - Mme la Procureure de l'arrondissement de la Broye et du Nord vaudois, - Office d’exécution des peines, - Service de la population,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