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304 vom 2. Juni 2017</w:t>
      </w:r>
    </w:p>
    <w:p>
      <w:r>
        <w:t>VD Tribunal cantonal, 2017-06-02, FR</w:t>
      </w:r>
    </w:p>
    <w:p>
      <w:r>
        <w:rPr>
          <w:b/>
        </w:rPr>
        <w:t xml:space="preserve">Quelle: </w:t>
      </w:r>
      <w:r>
        <w:t>https://mcp.opencaselaw.ch/entscheid/vd_findinfo_Jug___2017___304</w:t>
      </w:r>
    </w:p>
    <w:p>
      <w:r>
        <w:t>FR: VD_FINDINFO Jug / 2017 / 304 du 2 juin 2017</w:t>
      </w:r>
    </w:p>
    <w:p>
      <w:r>
        <w:t>IT: VD_FINDINFO Jug / 2017 / 304 del 2 giugno 2017</w:t>
      </w:r>
    </w:p>
    <w:p>
      <w:pPr>
        <w:pStyle w:val="Heading2"/>
      </w:pPr>
      <w:r>
        <w:t>Regeste</w:t>
      </w:r>
    </w:p>
    <w:p>
      <w:r>
        <w:t>ADMISSION DE LA DEMANDE, EXPULSION{DROIT PÉNAL}, SOUDAN | 8 CEDH, 66a CP</w:t>
      </w:r>
    </w:p>
    <w:p>
      <w:pPr>
        <w:pStyle w:val="Heading2"/>
      </w:pPr>
      <w:r>
        <w:t>Erwägungen</w:t>
      </w:r>
    </w:p>
    <w:p>
      <w:r>
        <w:rPr>
          <w:b/>
        </w:rPr>
        <w:t>E. 1</w:t>
      </w:r>
    </w:p>
    <w:p>
      <w:r>
        <w:t>Interjeté dans les formes et délai légaux (art. 399 CPP [Code de procédure pénale suisse du 5 octobre 2007 ; RS 312.0])) par une partie ayant la qualité pour recourir (art. 381 CPP)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w:t>
      </w:r>
    </w:p>
    <w:p>
      <w:r>
        <w:t>CP, que l’art. 66a al. 2 CP s’applique à l’étranger qui est né ou qui a grandi en Suisse et dont l’expulsion pourrait être considérée comme disproportion­née, que X.________ n’a pas le statut de réfugié en Suisse, que le fait de renoncer à son expulsion reviendrait à le replacer en situation de récidive d’infraction à la LEtr et qu’il a déjà quatre antécédents inscrits au casier judiciaire.</w:t>
      </w:r>
    </w:p>
    <w:p>
      <w:r>
        <w:rPr>
          <w:b/>
        </w:rPr>
        <w:t>E. 3.1</w:t>
      </w:r>
    </w:p>
    <w:p>
      <w:r>
        <w:t>L'art. 66a CP est entré en vigueur le 1 er octobre 2016. Aux termes de l’al. 1 let. d de cette disposition, le juge expulse de Suisse l'étranger qui est condamné pour vol (art. 139) en lien avec une violation de domicile (art. 186), quelle que soit la quotité de la peine prononcée à son encontre, pour une durée de cinq à quinze ans. L’expulsion obligatoire prévue par cette disposition s’impose dès l’instant où l’auteur, ressortissant étranger, a commis et est condamné pour l’une des infrac­­tions énumérées à l’art. 66a al. 1 let. a à o CP (Dupuis et al., Petit commentaire du Code pénal, 2 e éd., Bâle 2017, n. 2 ad art. 66a CP).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on renoncera à l’expulsion si celle-ci ne peut être raisonnable­ment exigée, parce qu’elle porterait gravement atteinte à des droits personnels de l’étranger qui sont garantis par le droit international en matière des droits de l’homme. On songe ici en premier lieu aux droits définis à l’art. 8 CEDH (Convention de sauvegarde des droits de l'homme et des libertés fondamentales du 4 novembre 1950; RS 0.101) qui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(cf. ATF 130 II 281 consid. 3.1 p. 285). Sont également à prendre en considération les droits garantis par la Convention relative aux droits de l’enfant du 20 novembre 1989 (RS 0.107), comme l’intérêt supérieur de l’enfant (art. 3), l’interdiction de séparer l’enfant de ses parents contre son gré (art. 10 al. 1) et le droit de l’enfant d’entretenir des contacts directs réguliers avec ses parents (art. 10 al. 2). On tiendra également compte de la situation politique et militaire du pays d’expulsion à l’aune du principe de non-refoulement du droit international. En effet, les motifs d’empêchement potentiels, liés en premier lieu à la situation du pays d’expulsion du condamné, ne pourront être complètement ignorés. Ainsi, la perspec­tive que le condamné (et sa famille) puissent rencontrer de graves difficultés dans le pays de destination, voire un traitement inhumain, fera que son expulsion ne pourra pas être raisonnablement exigée au sens de l’art. 8 CEDH et imposera de renoncer exceptionnellement à cette mesure. Il reviendra à l’autorité d’exécution de veiller à ce que le principe de non-refoulement soit respecté, conformément à la jurisprudence élaborée par le Tribunal fédéral sous l’ancien droit à propos de l’expulsion judiciaire (Message du Conseil fédéral du 26 juin 2013 relatif à une modification du code pénal et du code pénal militaire [Message], FF 2013 pp. 5424 ss et les références citées). Selon cette jurisprudence, le juge qui envisage de prononcer une mesure d’expulsion à l’encontre d’un réfugié doit tenir compte des restrictions imposées par le droit d’asile à la possibilité d’expulser un réfugié ; si les autorités compétentes en matière d’asile n’ont pas encore statué, le juge pénal doit se prononcer sur la qualité de réfugié conformément aux règles applicables à l’examen des questions préjudicielles (ATF 119 IV 195, ATF 116 IV 105).</w:t>
      </w:r>
    </w:p>
    <w:p>
      <w:r>
        <w:rPr>
          <w:b/>
        </w:rPr>
        <w:t>E. 3.2</w:t>
      </w:r>
    </w:p>
    <w:p>
      <w:r>
        <w:t>En l’occurrence, X.________ a notamment été condamné pour vol et violation de domicile, de sorte que son expulsion doit être ordonnée, sous réserve des exceptions prévues par l’art. 66a al. 2 CP, qu’il convient d’examiner plus avant. La première juge a renoncé à expulser X.________ au motif qu’il était originaire du Soudan, qu’il avait fui ce pays pour des motifs politiques et que sa vie pourrait être en danger dans son pays d’origine. Les déclarations de X.________, qui ont varié durant l’instruction, appa­raissent incohérentes et peu crédibles. En effet, lors des débats de première instan­ce, X.________ a déclaré qu’il n’avait pas de famille au Soudan, qu’il n’avait pas de frère et sœur, qu’il était parti du Soudan en 2008 pour des raisons politiques et qu’il n’avait jamais déposé de demande d’asile en Suisse (Jgt p. 6). Toutefois, lors de son audition par la police le 14 février 2017, X.________ a expliqué qu’il avait quitté le Soudan à l’âge de 15 ou 16 ans, qu’il avait encore une sœur qui habitait au Soudan, qu’il avait déposé une demande d’asile à Genève en 2009 et que sa demande avait été refusée (PV aud. 3 p. 2). Or, selon le courrier du 11 juillet 2017 de l’Offi­ce cantonal de la population et des migrations de la République et canton de Genè­ve (P. 34),  X.________ n’a jamais déposé de demande d’asile en Suisse, mais a fait l’objet d’une inter­dic­tion d’entrée en Suisse valable jusqu’au 29 mai 2019 prononcée le 30 mai 2016 par le Secrétariat d’Etat aux migrations, ainsi que d’une décision de renvoi pronon­cée le 1 er mai 2016 par le corps des gardes-frontières. On ne saurait croire que X.________ ait réellement été ou qu’il soit à l’heure actuelle en danger dans son pays d’origine pour des motifs politiques. En effet, X.________, qui a admis avoir quitté le Soudan très jeune, soit vers l’âge de 15 ou 16 ans, n’a jamais déposé de demande d’asile en Suisse. Il n’a en outre pas allégué avoir été actif politiquement dans le cadre d’une organisation opposée au régime politique soudanais, que ce soit au Soudan ou en Suisse, ou avoir eu des activités politiques de nature à attirer l’attention des Services de renseignements soudanais sur sa personne, de sorte qu’il y a lieu d’admettre qu’il n’encourt pas de risques de mauvais traitements et de torture en cas de retour au Soudan (cf. arrêt de la Cour EDH N.A. c. Suisse du 30 mai 2017, n o 50364/14). Dans ces conditions, on ne discerne pas en quoi X.________ pourrait rencontrer de graves difficultés dans son pays d’origine, où il a encore de la famille. X.________ n’a au surplus aucun intérêt à demeurer en Suisse, où il n’a ni famille, ni attaches, ni activité profession­nelle. Partant, l’expulsion de X.________ du territoire suisse pour une durée de 5 ans doit être prononcée.</w:t>
      </w:r>
    </w:p>
    <w:p>
      <w:r>
        <w:rPr>
          <w:b/>
        </w:rPr>
        <w:t>E. 4</w:t>
      </w:r>
    </w:p>
    <w:p>
      <w:r>
        <w:t>En définitive, l’appel interjeté par le Ministère public doit être admis et le jugement entrepris réformé en ce sens que l’expulsion de X.________ est prononcée. Me Sarah El-Abshihy, défenseur d’office du prévenu, a produit une liste d’opérations (P. 44/1) faisant état de 6 heures et 15 minutes d’activité. Il con­vient de retrancher 1 heure correspondant au temps consacré à la pré­pa­ration d’un borde­reau de pièces qui relève du pur travail de secrétariat, ainsi qu’à celui consacré à la prise de connaissance de brefs courriers calculée systémati­que­ment de manière forfaitaire à 5 minutes, alors qu'une lecture cursive et brève ne dépasse pas les quel­ques secondes (Bohnet/Mar­­te­net, Droit de la profession d'avocat, Berne 2009, n. 2962 p. 1170 et la juris­prudence citée ad n. 873). Il convient par conséquent d’allouer à Me Sarah El-Abshihy une indem­nité de défenseur d’office pour la procédure d’appel d’un montant de 1'042 fr. 20, correspondant à 5 heures et 15 minutes d’activité à 180 fr., à 20 fr. de débours et à 77 fr. 20 de TVA. Vu l’issue de la cause, les frais de la procédure d’appel, par 2'142 fr. 20, constitués en l’espèce de l’émolument du présent jugement, par 1’100 fr. (art. 21 al. 1 et 2 TFIP [Tarif des frais de procédure et indemnités en matière pénale du 28 septembre 2010 ; RSV 312.03.1]), et de l’indemnité de défenseur d’office allouée à Me Sarah El-Abshihy, par 1'042 fr. 20 fr, seront mis à la charge de X.________, qui succombe (art. 428 al. 2 CPP). X.________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