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284 vom 22. April 2015</w:t>
      </w:r>
    </w:p>
    <w:p>
      <w:r>
        <w:t>VD Tribunal cantonal, 2015-04-22, FR</w:t>
      </w:r>
    </w:p>
    <w:p>
      <w:r>
        <w:rPr>
          <w:b/>
        </w:rPr>
        <w:t xml:space="preserve">Quelle: </w:t>
      </w:r>
      <w:r>
        <w:t>https://mcp.opencaselaw.ch/entscheid/vd_findinfo_Jug___2017___284</w:t>
      </w:r>
    </w:p>
    <w:p>
      <w:r>
        <w:t>FR: VD_FINDINFO Jug / 2017 / 284 du 22 avril 2015</w:t>
      </w:r>
    </w:p>
    <w:p>
      <w:r>
        <w:t>IT: VD_FINDINFO Jug / 2017 / 284 del 22 aprile 2015</w:t>
      </w:r>
    </w:p>
    <w:p>
      <w:pPr>
        <w:pStyle w:val="Heading2"/>
      </w:pPr>
      <w:r>
        <w:t>Regeste</w:t>
      </w:r>
    </w:p>
    <w:p>
      <w:r>
        <w:t>RÉVISION{DÉCISION}, DEMANDE ADRESSÉE À L'AUTORITÉ | 410 al. 1 let. a CPP (CH), 413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2</w:t>
      </w:r>
    </w:p>
    <w:p>
      <w:r>
        <w:t>En l’espèce, Q.________ justifie son inaction dans la procédure par le fait qu’il était dans l’incapacité de réagir et produit, pour étayer son affirmation, un certificat médical établi le 7 mars 2017 par la Dresse W.________, psychiatre qui le suit de manière intermittente depuis une dizaine d’années. Ce médecin indique notamment que la pathologie dont souffre Q.________ se traduit par un comportement inadéquat socialement : « il s’agit d’une gigantesque procrastination, une paralysie totale en ce qui concerne les obligations sociales, une incapacité totale à faire ce qu’il devrait faire à temps, une totale incapacité à se contraindre à faire ce qui ne lui plaît pas » (P. 9/2). S’il est vrai que le requérant était déjà suivi à l’époque des faits, à tout le moins de manière intermittente, on ignore – et le Ministère public aussi lorsqu’il a pris sa décision – si le prévenu faisait l’objet d’un traitement durant cette période et, partant, si sa pathologie pouvait avoir une incidence sur sa responsabilité pénale. Il convient donc, au vu de de ces circonstances, que Q.________ soit entendu sur cette question et, le cas échéant, qu’il puisse être soumis à une expertise psychiatrique.</w:t>
      </w:r>
    </w:p>
    <w:p>
      <w:r>
        <w:rPr>
          <w:b/>
        </w:rPr>
        <w:t>E. 3</w:t>
      </w:r>
    </w:p>
    <w:p>
      <w:r>
        <w:t>En conséquence, la requête de révision déposée par Q.________ doit être admise et l’ordonnance pénale du 22 avril 2015 annulée. Le dossier de la cause sera renvoyé au Ministère public de l’arrondissement de La Côte pour complément d’instruction et nouvelle décision dans le sens des considérants. Vu l’issue de la cause, la demande d’assistance judiciaire déposée dans le cadre de la demande de révision est sans objet. Les frais de la procédure de révision, par 440 fr. (art. 21 TFIP [Tarif des frais de procédure et indemnités en matière pénale du 28 septembre 2010 ; RSV 312.03.1], par renvoi de l'art. 22 TFIP),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