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2017 / 28 vom 17. Mai 2016</w:t>
      </w:r>
    </w:p>
    <w:p>
      <w:r>
        <w:t>VD Tribunal cantonal, 2016-05-17, FR</w:t>
      </w:r>
    </w:p>
    <w:p>
      <w:r>
        <w:rPr>
          <w:b/>
        </w:rPr>
        <w:t xml:space="preserve">Quelle: </w:t>
      </w:r>
      <w:r>
        <w:t>https://mcp.opencaselaw.ch/entscheid/vd_findinfo_Jug___2017___28</w:t>
      </w:r>
    </w:p>
    <w:p>
      <w:r>
        <w:t>FR: VD_FINDINFO Jug / 2017 / 28 du 17 mai 2016</w:t>
      </w:r>
    </w:p>
    <w:p>
      <w:r>
        <w:t>IT: VD_FINDINFO Jug / 2017 / 28 del 17 maggio 2016</w:t>
      </w:r>
    </w:p>
    <w:p>
      <w:pPr>
        <w:pStyle w:val="Heading2"/>
      </w:pPr>
      <w:r>
        <w:t>Regeste</w:t>
      </w:r>
    </w:p>
    <w:p>
      <w:r>
        <w:t>VIOL, ENLÈVEMENT{INFRACTION}, LÉSION CORPORELLE SIMPLE, MENACE{DROIT PÉNAL}, CONTRAINTE{DROIT PÉNAL}, TENTATIVE{DROIT PÉNAL}, APPROPRIATION ILLÉGITIME, INJURE, VOL{DROIT PÉNAL}, CIRCULATION ROUTIÈRE{DROIT DE LA CIRCULATION ROUTIÈRE}, ALCOOLÉMIE, LOI FÉDÉRALE SUR LES ARMES, LES ACCESSOIRES D'ARMES ET LES MUNITIONS | 123 ch. 1 al. 1 CP, 123 ch. 1 al. 2 CP, 137 ch. 1 CP, 139 ch. 1 CP, 172ter CP, 177 al. 1 CP, 177 CP, 180 al. 1 CP, 181 CP, 19 al. 2 CP, 19 CP, 190 al. 1 CP, 22 al. 1 CP, 22 CP, 34 CP, 40 CP, 47 CP, 49 al. 1 CP, 49 CP, 63 CP, 69 CP, 33 al. 1 LArm, 90 al. 1 LCR, 91 al. 1 LCR, 91 al. 2 LCR, 91a al. 1 LCR, 92 al. 1 LCR, 94 ch. 1 al. 1 LCR, 95 al. 1 let. a LCR, 95 ch. 2 LCR, 96 ch. 2 LCR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de débours et 8% de TVA. 9.3 Vu le sort de l'appel, les frais d'appel, incluant les indemnités des avocats d'office, doivent être mis pour trois quarts à la charge de l'appelant, le solde étant laissé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