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272 vom 19. Juli 2017</w:t>
      </w:r>
    </w:p>
    <w:p>
      <w:r>
        <w:t>VD Tribunal cantonal, 2017-07-19, FR</w:t>
      </w:r>
    </w:p>
    <w:p>
      <w:r>
        <w:rPr>
          <w:b/>
        </w:rPr>
        <w:t xml:space="preserve">Quelle: </w:t>
      </w:r>
      <w:r>
        <w:t>https://mcp.opencaselaw.ch/entscheid/vd_findinfo_Jug___2017___272</w:t>
      </w:r>
    </w:p>
    <w:p>
      <w:r>
        <w:t>FR: VD_FINDINFO Jug / 2017 / 272 du 19 juillet 2017</w:t>
      </w:r>
    </w:p>
    <w:p>
      <w:r>
        <w:t>IT: VD_FINDINFO Jug / 2017 / 272 del 19 luglio 2017</w:t>
      </w:r>
    </w:p>
    <w:p>
      <w:pPr>
        <w:pStyle w:val="Heading2"/>
      </w:pPr>
      <w:r>
        <w:t>Regeste</w:t>
      </w:r>
    </w:p>
    <w:p>
      <w:r>
        <w:t>RISQUE DE RÉCIDIVE, RÉVISION{DÉCISION}, DÉTENTION POUR DES MOTIFS DE SÛRETÉ | 221 al. 1 let. c CPP (CH), 232 CPP (CH)</w:t>
      </w:r>
    </w:p>
    <w:p>
      <w:pPr>
        <w:pStyle w:val="Heading2"/>
      </w:pPr>
      <w:r>
        <w:t>Erwägungen</w:t>
      </w:r>
    </w:p>
    <w:p>
      <w:r>
        <w:rPr>
          <w:b/>
        </w:rPr>
        <w:t>E. 1.1</w:t>
      </w:r>
    </w:p>
    <w:p>
      <w:r>
        <w:t>La juridiction d’appel – qui est, dans le canton de Vaud, la Cour d’appel pénale (art. 79 al. 1 let. b LOJV; RSV 173.01) – est l’autorité compétente en matière de révision (art. 412 al. 1 CPP [Code de procédure pénale suisse du 5 octobre 2007; RS 312.0]). La direction de la procédure, soit en l’occurrence le Président de la Cour d’appel (art. 61 let. c CPP) est notamment compétent pour ordonner la mise en détention du prévenu (art. 388 let. b et 412 al. 4 CPP; Moreillon/Parein-Reymond, Petit commentaire du Code de procédure pénale, Bâle 2016, n. 13 ad art. 412 CPP).</w:t>
      </w:r>
    </w:p>
    <w:p>
      <w:r>
        <w:rPr>
          <w:b/>
        </w:rPr>
        <w:t>E. 1.2</w:t>
      </w:r>
    </w:p>
    <w:p>
      <w:r>
        <w:t>Les art. 231 à 233 CPP confèrent à la direction de la procédure de la juridiction d’appel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w:t>
      </w:r>
    </w:p>
    <w:p>
      <w:r>
        <w:rPr>
          <w:b/>
        </w:rPr>
        <w:t>E. 1.3</w:t>
      </w:r>
    </w:p>
    <w:p>
      <w:r>
        <w:t>S'agissant en particulier d'un cas d'application de l'art. 232 CPP, dès la connaissance de la survenance d'une cause de détention pour motifs de sûreté, la direction de la procédure décerne immédiatement un mandat d'amener (art. 207 ss CPP) ou de recherche (art. 210 CPP), cela afin que le prévenu soit tenu à sa disposition. Aussitôt que celui-ci lui est déféré, la direction de la procédure l'interroge (art. 232 al. 1 CPP) et lui donne le droit d'être entendu afin de s'exprimer sur les motifs de détention retenus à son encontre. L'autorité doit rendre ensuite sa décision dans les quarante-huit heures à partir du moment où le prévenu lui a été amené par la police (al. 2). L'art. 232 CPP s'applique jusqu'au moment du prononcé du jugement par la juridiction d'appel, qui peut donc encore ordonner la détention pour motifs de sûreté à ce moment-là (TF 1B_219/2013 du 16 juillet 2013). Cette disposition s’applique à la procédure de révision également (art. 412 al. 4 CPP; CR-CPP, n. 9 ad art. 412 CPP). Dans tous les cas où la direction de la procédure de la juridiction d'appel se prononce sur une question relative à la détention pour motifs de sûreté, elle doit rendre, par référence à l'art. 226 al. 2 CPP, une décision écrite et sommairement motivée (ATF 138 IV 81 consid. 2.5).</w:t>
      </w:r>
    </w:p>
    <w:p>
      <w:r>
        <w:rPr>
          <w:b/>
        </w:rPr>
        <w:t>E. 1.4</w:t>
      </w:r>
    </w:p>
    <w:p>
      <w:r>
        <w:t>En l’espèce, le 4 juillet 2017, la Cour d’appel pénale a été saisie par le Ministère public central d’une demande de révision en défaveur de Y.________, de sorte qu’il revient à la direction de la procédure de décider d’une éventuelle mise en détention pour des motifs de sûreté de celui-ci, conformément aux art. 232 al. 1, 388 let. b et 412 al. 4 CPP. Le Ministère public central fonde sa requête de révision sur l’expertise déposée le 16 décembre 2016 par le [...], faisant état d’un diagnostic de trouble de la personnalité dyssociale sévère, révélant une dangerosité et un risque de récidive élevé qui n’étaient pas connus en 2011.</w:t>
      </w:r>
    </w:p>
    <w:p>
      <w:r>
        <w:rPr>
          <w:b/>
        </w:rPr>
        <w:t>E. 2.1</w:t>
      </w:r>
    </w:p>
    <w:p>
      <w:r>
        <w:t>En vertu de l'art. 221 al. 1 CPP, la détention provisoire et la détention pour des motifs de sûreté ne peuvent être ordonnées que lorsque le prévenu est fortement soupçonné d'avoir commis un crime ou un délit et qu'il y a sérieusement lieu de craindre : qu'il se soustraie à la procédure pénale ou à la sanction prévisible en prenant la fuite (let. a); qu'il compromette la recherche de la vérité en exerçant une influence sur des personnes ou en altérant des moyens de preuve (let. b); qu'il compromette sérieusement la sécurité d'autrui par des crimes ou des délits graves après avoir déjà commis des infractions du même genre (let. c).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w:t>
      </w:r>
    </w:p>
    <w:p>
      <w:r>
        <w:rPr>
          <w:b/>
        </w:rPr>
        <w:t>E. 2.1.1</w:t>
      </w:r>
    </w:p>
    <w:p>
      <w:r>
        <w:t>La gravité de l'infraction dépend, outre de la peine menace prévue par la loi, de la nature du bien juridique menacé et du contexte, notamment la dangerosité présentée concrètement par le prévenu, de son potentiel de violence et des circonstances de la commission de l’acte.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TF 1B_6/2017 et TF 1B_26/2017 du 8 février 2017 consid. 3.1.1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(TF 1B_6/2017 et TF 1B_26/2017 précités et la référence citée).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w:t>
      </w:r>
    </w:p>
    <w:p>
      <w:r>
        <w:rPr>
          <w:b/>
        </w:rPr>
        <w:t>E. 2.1.2</w:t>
      </w:r>
    </w:p>
    <w:p>
      <w:r>
        <w:t>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ATF 143 IV 9 consid. 2.3.1).</w:t>
      </w:r>
    </w:p>
    <w:p>
      <w:r>
        <w:rPr>
          <w:b/>
        </w:rPr>
        <w:t>E. 2.2.1</w:t>
      </w:r>
    </w:p>
    <w:p>
      <w:r>
        <w:t>En l’espèce, outre de nombreuses infractions contre l’honneur et contre le patrimoine, Y.________ a notamment été condamné en France en 1996 pour violence commise en réunion, puis en Suisse en 2005 pour un brigandage, en 2011 pour tentative de meurtre, agression et lésions corporelles simples qualifiées, et en 2014 pour lésions corporelles simples. Dans le cadre de sa détention, il a également fait l’objet de plusieurs sanctions disciplinaires, dont une pour atteinte à l'intégrité physique, en 2012. Enfin, le 5 octobre 2015, il a dû être transféré dans un autre établissement pénitentiaire, en raison de menaces proférées à l'encontre de ses codétenus. Il est, ainsi, établi que l’intéressé a commis divers crimes et délits graves, notamment contre l’intégrité physique et même la vie.</w:t>
      </w:r>
    </w:p>
    <w:p>
      <w:r>
        <w:rPr>
          <w:b/>
        </w:rPr>
        <w:t>E. 2.2.2</w:t>
      </w:r>
    </w:p>
    <w:p>
      <w:r>
        <w:t>Dans ses séances de novembre 2013 et d’octobre 2014, la CIC mentionnait les multiples comportements violents de Y.________, tandis que l’Office d’exécution des peines avait relevé sa dangerosité préoccupante au mois de septembre 2014. L’expertise psychiatrique de l’intéressé du 1 er août 2015, qui retenait le diagnostic de schizophrénie paranoïde, révélait que le risque de réitération d’actes violents hors du contexte institutionnel était de moyen à élevé. Enfin, l’expertise psychiatrique récemment mise en œuvre du 16 décembre 2016, qui retient le diagnostic de personnalité dyssociale sévère et de psychopathie, expose clairement que ces troubles sont en lien avec les infractions commises, qu’il n’existe aucun traitement – d’autant que Y.________ n’en voit pas l’utilité et se refuse à tout suivi – que la commission d’infraction graves au sens de l’art. 64 al. 1 CP est à craindre et que le risque de récidive est élevé. Compte tenu de ces éléments, il est patent que Y.________ présente un potentiel de dangerosité et de violence élevés. Au vu de la fréquence et de l'intensité des infractions qu’il a déjà commises, qui sont, à dire d’expert, directement liées au trouble incurable dont il souffre, il est sérieusement à craindre que celui-ci compromette la sécurité d’autrui par la réitération de crimes ou de délits graves, en particulier par des actes dirigés contre l’intégrité physique. A cet égard, l’expert Ventura a relevé qu’il était incapable de percevoir la gravité des délits pour lesquels il avait été condamné et qu’il était insensible aux droits et au bien-être d’autrui. Le risque élevé de récidive auquel concluent les deux expertises menées en 2015 et à la fin de l’année 2016, tout comme le fait que, selon la dernière expertise, la condamnation de Y.________ prononcée en 2011 et l’exécution de la peine y relative n’ont pas permis à l’intéressé d’évoluer dans la reconnaissance de ses délits et de leurs conséquences – il a d’ailleurs été condamné en 2014 pour lésions corporelles simples, a fait l’objet de sanctions disciplinaires pour atteinte à l’intégrité physique lors de sa détention et a même dû être transféré en raison de menaces proférées à l’égard de ses codétenus – amènent à constater que le pronostic est défavorable. Il s’ensuit que toutes les conditions sont réunies pour prononcer la détention de l’intéressé pour des motifs de sûreté en sens des art. 221 al. 1 let. c et 232 al. 1 CPP. Il est donc nécessaire de placer l’intimé en détention pour la durée de la procédure de révision. Compte tenu de la durée prévisible et du fait que la fin de l’exécution des peines à purger est fixée au 4 janvier 2018, le principe de la proportionnalité est respecté (art. 212 al. 3 CPP).</w:t>
      </w:r>
    </w:p>
    <w:p>
      <w:r>
        <w:rPr>
          <w:b/>
        </w:rPr>
        <w:t>E. 3</w:t>
      </w:r>
    </w:p>
    <w:p>
      <w:r>
        <w:t>En définitive, la détention pour des motifs de sûreté de Y.________ doit être ordonnée immédiatement. Les frais du présent prononcé suivent le sort de la cause. Par ces motifs, en application des art. 221 al. 1 let. c et 232 al. 1 CPP, le Président de la Cour d’appel pénale : I. Ordonne la détention immédiate pour des motifs de sûreté de Y.________. II. Dit que les frais suivent le sort de la cause. Le président :               Le greffier : Du Le jugement qui précède, dont la rédaction a été approuvée à huis clos, est notifié, par l'envoi d'une copie complète, à : - Me Bertrand Demierre, avocat (pour Y.________) - Ministère public central et communiqué à : ‑ M. le Procureur du Ministère public central, division affaires spéciales, - Office d’exécution des peines (et par fax), - Etablissements de la plaine de l’Orbe (et par fax),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