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271 vom 9. April 2014</w:t>
      </w:r>
    </w:p>
    <w:p>
      <w:r>
        <w:t>VD Tribunal cantonal, 2014-04-09, FR</w:t>
      </w:r>
    </w:p>
    <w:p>
      <w:r>
        <w:rPr>
          <w:b/>
        </w:rPr>
        <w:t xml:space="preserve">Quelle: </w:t>
      </w:r>
      <w:r>
        <w:t>https://mcp.opencaselaw.ch/entscheid/vd_findinfo_Jug___2017___271</w:t>
      </w:r>
    </w:p>
    <w:p>
      <w:r>
        <w:t>FR: VD_FINDINFO Jug / 2017 / 271 du 9 avril 2014</w:t>
      </w:r>
    </w:p>
    <w:p>
      <w:r>
        <w:t>IT: VD_FINDINFO Jug / 2017 / 271 del 9 aprile 2014</w:t>
      </w:r>
    </w:p>
    <w:p>
      <w:pPr>
        <w:pStyle w:val="Heading2"/>
      </w:pPr>
      <w:r>
        <w:t>Regeste</w:t>
      </w:r>
    </w:p>
    <w:p>
      <w:r>
        <w:t>INDEMNITÉ{EN GÉNÉRAL} | 429 al. 1 let. a CPP (CH), 442 al. 4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w:t>
      </w:r>
    </w:p>
    <w:p>
      <w:r>
        <w:rPr>
          <w:b/>
        </w:rPr>
        <w:t>E. 2.1</w:t>
      </w:r>
    </w:p>
    <w:p>
      <w:r>
        <w:t>Dans son arrêt du 17 mai 2017, le Tribunal fédéral a considéré que le prévenu devait être indemnisé pour la procédure d’appel dans la mesure où il avait obtenu partiellement gain de cause et que l’on ne distinguait pas de comportement illicite, distinct de celui visé par les art. 139 et 172 ter CP sanctionnant le vol d’importance mineure, infraction dont il avait été libéré.</w:t>
      </w:r>
    </w:p>
    <w:p>
      <w:r>
        <w:rPr>
          <w:b/>
        </w:rPr>
        <w:t>E. 2.2</w:t>
      </w:r>
    </w:p>
    <w:p>
      <w:r>
        <w:t>Selon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 TF 6B_237/2016 du 18 juillet 2016 consid. 3.1). Selon l’art. 442 al. 4 CPP, les autorités pénales peuvent compenser les créances portant sur des frais de procédure avec les indemnités accordées à la partie débitrice dans la même procédure pénale et avec des valeurs séquestrées (ATF 139 IV 243 consid. 5).</w:t>
      </w:r>
    </w:p>
    <w:p>
      <w:r>
        <w:rPr>
          <w:b/>
        </w:rPr>
        <w:t>E. 2.3</w:t>
      </w:r>
    </w:p>
    <w:p>
      <w:r>
        <w:t>Le prévenu conclut à l’allocation d’une indemnité au sens de l’art. 429 al. 1 let. a CPP d’un montant de 1'863 fr. 50. Ce montant représente le tiers des honoraires facturés pour la procédure d’appel le 11 août 2014 (5'266 fr. 46, TVA incluse, P. 61), auquel a été ajouté un montant de 108 fr. pour la rédaction de déterminations à la suite de l’arrêt du Tribunal fédéral du 3 mars 2016 (P. 69). Toutefois, pour respecter la proportion de trois quarts des frais à la charge du prévenu, telle qu’arrêtée dans le jugement de la cour de céans du 12 avril 2016 et approuvée par le Tribunal fédéral le 17 mai 2017 (TF 6B_620/2016 consid. 2.5), il convient de fixer le montant dû au quart des honoraires facturés le 11 août 2014, plus le montant de 108 fr. précité, soit à 1'424 fr. 60 au total. Conformément à l’art. 442 al. 4 CPP, ce montant sera compensé avec les frais de la procédure d’appel mis à la charge du prévenu, par 1'597 fr. 50 (3/4 de 2'130 fr. selon chiffre III du jugement du 12 avril 2016).</w:t>
      </w:r>
    </w:p>
    <w:p>
      <w:r>
        <w:rPr>
          <w:b/>
        </w:rPr>
        <w:t>E. 3</w:t>
      </w:r>
    </w:p>
    <w:p>
      <w:r>
        <w:t>En définitive, l’appel doit être partiellement admis, le dispositif étant complété dans le sens du considérant qui précède par un chiffre III bis. Vu l'issue de la cause, les frais du présent jugement, par 770 fr.,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