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269 vom 20. März 2017</w:t>
      </w:r>
    </w:p>
    <w:p>
      <w:r>
        <w:t>VD Tribunal cantonal, 2017-03-20, FR</w:t>
      </w:r>
    </w:p>
    <w:p>
      <w:r>
        <w:rPr>
          <w:b/>
        </w:rPr>
        <w:t xml:space="preserve">Quelle: </w:t>
      </w:r>
      <w:r>
        <w:t>https://mcp.opencaselaw.ch/entscheid/vd_findinfo_Jug___2017___269</w:t>
      </w:r>
    </w:p>
    <w:p>
      <w:r>
        <w:t>FR: VD_FINDINFO Jug / 2017 / 269 du 20 mars 2017</w:t>
      </w:r>
    </w:p>
    <w:p>
      <w:r>
        <w:t>IT: VD_FINDINFO Jug / 2017 / 269 del 20 marzo 2017</w:t>
      </w:r>
    </w:p>
    <w:p>
      <w:pPr>
        <w:pStyle w:val="Heading2"/>
      </w:pPr>
      <w:r>
        <w:t>Regeste</w:t>
      </w:r>
    </w:p>
    <w:p>
      <w:r>
        <w:t>MISE EN DANGER DE LA VIE D'AUTRUI{ART. 129 CP}, FIXATION DE LA PEINE, TRAITEMENT AMBULATOIRE | 129 CP, 47 CP, 63 al. 1 CP, 63 al. 2 CP, 63a al. 3 CP</w:t>
      </w:r>
    </w:p>
    <w:p>
      <w:pPr>
        <w:pStyle w:val="Heading2"/>
      </w:pPr>
      <w:r>
        <w:t>Erwägungen</w:t>
      </w:r>
    </w:p>
    <w:p>
      <w:r>
        <w:rPr>
          <w:b/>
        </w:rPr>
        <w:t>E. 1</w:t>
      </w:r>
    </w:p>
    <w:p>
      <w:r>
        <w:t>Interjeté dans les formes et délais légaux (art. 385 al. 1 et 399 CPP) par une partie ayant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en premier lieu sa condamnation pour mise en danger de la vie d’autrui.</w:t>
      </w:r>
    </w:p>
    <w:p>
      <w:r>
        <w:rPr>
          <w:b/>
        </w:rPr>
        <w:t>E. 3.2</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(TF 6B_876/2015 du 2 mai 2016 consid. 2.1 et les références citées).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et CAPE 2 septembre 2015/248 consid. 5.1 et les références citées). Le danger de mort imminent est inhérent au maniement d'un couteau contre la gorge d'une personne, sans opérer de distinction quant à la manière dont la lame (côté tranchant ou dos) est posée sur la gorge (TF 6B_298/2014 du 22 juillet 2014 consid. 5 et les références citées ; cf. aussi CAPE du 15 février 2012/2 consid. 4.1.1).</w:t>
      </w:r>
    </w:p>
    <w:p>
      <w:r>
        <w:rPr>
          <w:b/>
        </w:rPr>
        <w:t>E. 3.3</w:t>
      </w:r>
    </w:p>
    <w:p>
      <w:r>
        <w:t>En l’espèce, c’est en vain que l’appelant conteste l’élément subjectif de l’infraction et conteste avoir agi sans scrupules. Son état d’alcoolisation, entrainant selon l’expertise psychiatrique une légère diminution de responsabilité, ne permet aucunement de retenir qu’il n’était pas conscient de ce qu’il faisait. Au contraire, sa capacité d’apprécier le caractère illicite de l’acte était conservée, seule sa capacité de se déterminer étant restreinte, le prévenu étant toutefois conscient du risque de comportements violents associés à la consommation d’alcool (expertise, P. 79, p. 20). La conscience et la volonté de l’appelant n’étaient dès lors pas supprimées. Quant à l’absence de scrupules, elle résulte incontestablement de la manière d’agir, le prévenu ayant mis un couteau sur la gorge de la plaignante, alors qu’elle gisait ensanglantée sur le sol après avoir été violemment frappée, notamment à coup de pied. Mal fondé, le grief de l’appelant doit être rejeté.</w:t>
      </w:r>
    </w:p>
    <w:p>
      <w:r>
        <w:rPr>
          <w:b/>
        </w:rPr>
        <w:t>E. 4.1</w:t>
      </w:r>
    </w:p>
    <w:p>
      <w:r>
        <w:t>L’appelant fait ensuite valoir qu’il a été condamné à une peine trop élevée, compte tenu des circonstances.</w:t>
      </w:r>
    </w:p>
    <w:p>
      <w:r>
        <w:rPr>
          <w:b/>
        </w:rPr>
        <w:t>E. 4.2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4.3</w:t>
      </w:r>
    </w:p>
    <w:p>
      <w:r>
        <w:t>Pour fixer la peine, les premiers juges ont retenu à charge la gravité objective des infractions, soit une atteinte aux biens juridiquement protégés les plus importants, la futilité du mobile, l’absence de prise de conscience et la posture de victime du système ou d’une femme qui le trompe. En outre, l’activité délictueuse du prévenu est allée crescendo, comme en attestent ses antécédents et les faits de la cause, activité délictueuse qui consacre en outre un concours d’infractions. A décharge, ils ont pris en considération la situation personnelle du prévenu et son parcours de vie émaillé de difficultés, le bon rapport de renseignement établi par la prison et la convention partielle conclue avec la plaignante aux débats. Cette appréciation est adéquate. Contrairement à ce que soutient l’appelant, il n’y a rien de contradictoire à retenir à charge une posture de victime et à décharge une situation personnelle difficile. En effet, le fait d’avoir été victime durant son enfance n’implique pas nécessairement de rendre responsable le système judiciaire ou la plaignante. Ce n’est d’ailleurs pas la situation personnelle de l’appelant qui a été retenue à charge, mais son comportement dans la procédure, tendant à rendre les autres responsables de ses difficultés. De la même manière, les premiers juges ont considéré à juste titre qu’en niant ses problèmes d’alcool et de violence, l’appelant n’avait pas pris conscience de la gravité de ses actes. Il plaide d’ailleurs en appel l’absence de toute responsabilité s’agissant des infractions les plus graves, pour le motif erroné que l’alcool l’aurait privé de toute conscience et donc de toute volonté délictueuse. La prise de conscience alléguée par l’appelant n’est donc pas aboutie. Enfin, le rapport de comportement en détention dont se prévaut l’appelant a été pris en compte par les premiers juges à décharge. Tout bien considéré la peine privative de liberté de 30 mois, prononcée par les premiers juges, est adéquate et doit être confirmée.</w:t>
      </w:r>
    </w:p>
    <w:p>
      <w:r>
        <w:rPr>
          <w:b/>
        </w:rPr>
        <w:t>E. 5.1</w:t>
      </w:r>
    </w:p>
    <w:p>
      <w:r>
        <w:t>L’appelant soutient que c’est à tort que les premiers juges ont révoqué la suspension de la peine prononcée par le Bezirksgericht de Lenzburg au profit d’un traitement ambulatoire.</w:t>
      </w:r>
    </w:p>
    <w:p>
      <w:r>
        <w:rPr>
          <w:b/>
        </w:rPr>
        <w:t>E. 5.2</w:t>
      </w:r>
    </w:p>
    <w:p>
      <w:r>
        <w:t>Aux termes de l’art. 63a al. 3 CP, si, pendant le traitement ambulatoire, l’auteur commet une infraction dénotant que ce traitement ne peut vraisemblablement pas écarter le danger qu’il commette de nouvelles infractions en relation avec son état, le juge qui connaît de la nouvelle infraction ordonne l’arrêt du traitement resté sans résultat. L’art. 63b al. 2 CP prévoit que si le traitement ambulatoire est arrêté […] parce qu’il est resté sans résultat (art. 63a al. 3 CP), la peine privative de liberté suspendue doit être exécutée.</w:t>
      </w:r>
    </w:p>
    <w:p>
      <w:r>
        <w:rPr>
          <w:b/>
        </w:rPr>
        <w:t>E. 5.3</w:t>
      </w:r>
    </w:p>
    <w:p>
      <w:r>
        <w:t>L’appelant ne peut pas nier que les traitements entrepris ces dernières années ont été un échec, puisqu’il a gravement récidivé après sa condamnation par le tribunal de Lenzburg et après sa longue thérapie sous forme de traitement ambulatoire prononcée depuis 2009, d’abord par le Bezirksgericht de Zurich puis par l’autorité judiciaire déjà mentionnée. L’appelant a ainsi déjà bénéficié de deux suspensions de peines au profit des traitements ambulatoires de longues durées sans qu’aucun résultat sensible n’ait été obtenu. Au contraire, sa violence a été en s’aggravant et les faits délictueux ont été commis quelques jours après sa sortie de la clinique psychiatrique universitaire de Zürich. A teneur de l’expertise le risque actuel de récidive à moyen terme est élevé. La révocation de la suspension de la peine en application de l’art. 63a al. 3 CP est donc parfaitement justifiée.</w:t>
      </w:r>
    </w:p>
    <w:p>
      <w:r>
        <w:rPr>
          <w:b/>
        </w:rPr>
        <w:t>E. 6.1</w:t>
      </w:r>
    </w:p>
    <w:p>
      <w:r>
        <w:t>L’appelant fait enfin valoir que c’est à tort que les premiers juges ont refusé de prononcer un nouveau traitement ambulatoire en sa faveur.</w:t>
      </w:r>
    </w:p>
    <w:p>
      <w:r>
        <w:rPr>
          <w:b/>
        </w:rPr>
        <w:t>E. 6.2.1</w:t>
      </w:r>
    </w:p>
    <w:p>
      <w:r>
        <w:t>Une mesure doit être prononcée si une peine seule ne peut pas écarter le danger que l’auteur commette d’autres infractions, si l’auteur a besoin d’un traitement ou que la sécurité publique l’exige et si les conditions prévues aux art. 59 à 61, 63 ou 64 CP sont remplies (art. 56 al. 1 CP). Un traitement ambulatoire peut être prononcé au sens de l'art. 63 al.1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w:t>
      </w:r>
    </w:p>
    <w:p>
      <w:r>
        <w:rPr>
          <w:b/>
        </w:rPr>
        <w:t>E. 6.2.2</w:t>
      </w:r>
    </w:p>
    <w:p>
      <w:r>
        <w:t>Le juge peut suspendre l'exécution d'une peine privative de liberté ferme prononcée en même temps que le traitement ambulatoire si la peine n'est pas compatible avec ce dernier (art. 63 al. 2). La suspension de la peine au bénéfice d'un traitement ambulatoire a un caractère exceptionnel et doit reposer sur une justification particulière. Le principe est que la peine est exécutée et que le traitement ambulatoire est suivi en même temps (cf. ATF 129 IV 161 consid. 4.1 et 4.3; en application du nouveau droit: TF 6B_807/2010 du 7 juillet 2011 consid. 4.1 ; TF 6B_141/2009 du 24 septembre 2009 consid. 4 et TF 6B_717/2010 du 13 décembre 2010 consid. 3.2). Pour se prononcer sur la suspension de l'exécution d'une peine privative de liberté ferme, le juge doit se fonder sur une expertise psychiatrique (art. 56 al. 3 let. c CP en relation avec l'art. 63 CP; TF 6B_581/2009 du 15 décembre 2009 consid. 3.3).</w:t>
      </w:r>
    </w:p>
    <w:p>
      <w:r>
        <w:rPr>
          <w:b/>
        </w:rPr>
        <w:t>E. 6.3</w:t>
      </w:r>
    </w:p>
    <w:p>
      <w:r>
        <w:t>En l’espèce, il résulte de l’expertise judiciaire (P. 79) que l’appelant souffre des troubles mentaux et d’une addiction à l’alcool, que « l’acte punissable est partiellement en relation avec cette addiction » (p. 25), qu’au vu du trouble de la personnalité de l’appelant et de sa problématique d’addiction, celui-ci est susceptible de commettre de nouvelles infractions à caractère d’agression physique (pp. 23 et 27) et qu’un traitement ambulatoire au sens de l’art. 63 CP paraît indiqué pour prévenir la commission de nouvelles infractions, étant précisé que le risque de récidive est élevé à moyen terme. Les experts indiquent par ailleurs que l’appelant est disposé et volontaire pour se soumettre à un tel traitement, ce qui en améliore le pronostic. Il en découle que, de l’avis des experts, une peine ferme à elle seule n’est pas propre à détourner l’appelant de la commission de nouvelles infractions, raison pour laquelle le prononcé d’un traitement ambulatoire en sus est préconisé. Il n’y a pas de raison de s’écarter de l’avis des experts, étant précisé que le traitement ambulatoire devra se dérouler en détention (expertise, r. 4.5), sous l’autorité du Service de médecine et psychiatrie pénitentiaires. Contrairement à ce que soutient l’appelant, le prononcé d’un traitement ambulatoire ne doit pas entraîner une suspension de la peine, puisque les experts ont indiqué que celui-ci pourrait avoir lieu en milieu carcéral. D’ailleurs l’appelant se méprend également sur la possibilité de lui octroyer un sursis, dont il ne remplit pas les conditions, tant en raison de la condamnation prononcée en 2015 (art. 42 al. 2 CP) que du risque de récidive élevé, ce qui exclut de considérer que le traitement ambulatoire puisse être prononcé, comme il le demande dans ses conclusions, comme condition au sursis.</w:t>
      </w:r>
    </w:p>
    <w:p>
      <w:r>
        <w:rPr>
          <w:b/>
        </w:rPr>
        <w:t>E. 7</w:t>
      </w:r>
    </w:p>
    <w:p>
      <w:r>
        <w:t>En définitive, l’appel doit être rejeté, le jugement entrepris rectifié d’office, en ce sens qu’un traitement ambulatoire au sens de l’art. 63 CP en détention est ordonné, et confirmé pour le surplus. Une indemnité pour la procédure d'appel d'un montant de 1'868 fr. 40, sera allouée au défenseur d'office de l’appelant. Ce montant correspond à 1’560 francs d’honoraires (8.40 heures de travail x 180 fr.), à une vacation à 120 fr., à un forfait de 50 fr. pour les débours et à 138 fr. 40 pour la TVA. Vu l'issue de la cause, les frais d'appel constitués de l’émolument de jugement, par 2’050 fr. (art. 21 al. 1 et 2 TFIP [Tarif des frais de procédure et indemnités en matière pénale du 28 septembre 2010; RSV 312.03.1]), et de l’indemnité de défense d'office arrêtée à 1'868 fr. 40 (art. 422 al. 1 et 2 let. a CPP), seront mis entièrement à la charge de l’appelant, qui succombe (art. 428 al. 1 CPP). L’appelant ne sera tenu de rembourser à l’Etat le montant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