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268 vom 15. Februar 2017</w:t>
      </w:r>
    </w:p>
    <w:p>
      <w:r>
        <w:t>VD Tribunal cantonal, 2017-02-15, FR</w:t>
      </w:r>
    </w:p>
    <w:p>
      <w:r>
        <w:rPr>
          <w:b/>
        </w:rPr>
        <w:t xml:space="preserve">Quelle: </w:t>
      </w:r>
      <w:r>
        <w:t>https://mcp.opencaselaw.ch/entscheid/vd_findinfo_Jug___2017___268</w:t>
      </w:r>
    </w:p>
    <w:p>
      <w:r>
        <w:t>FR: VD_FINDINFO Jug / 2017 / 268 du 15 février 2017</w:t>
      </w:r>
    </w:p>
    <w:p>
      <w:r>
        <w:t>IT: VD_FINDINFO Jug / 2017 / 268 del 15 febbraio 2017</w:t>
      </w:r>
    </w:p>
    <w:p>
      <w:pPr>
        <w:pStyle w:val="Heading2"/>
      </w:pPr>
      <w:r>
        <w:t>Regeste</w:t>
      </w:r>
    </w:p>
    <w:p>
      <w:r>
        <w:t>VIOLATION DES RÈGLES DE LA CIRCULATION, EXCÈS DE VITESSE, POLICE, ÉMOTION, CONSTATATION DES FAITS, FIXATION DE LA PEINE | 47 CP, 48 let. c CP, 90 al. 3 LCR, 90 al. 4 LCR, 398 al. 3 let. b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d’A.________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soutient que l’état de fait serait lacunaire, dès lors que le jugement passe sous silence les circonstances dans lesquelles il a commis le grave excès de vitesse qui lui est reproché. Les premiers juges auraient dû retenir qu’A.________ venait de recevoir un appel téléphonique en anglais de X.________, une amie anglaise de sa mère, lui annonçant que cette dernière était sous masque à oxygène à l’hôpital. A.________, qui s’occupait de sa mère avec un dévouement exceptionnel, en a déduit qu’elle risquait de décéder rapidement. Ce serait sous le coup de cette représentation que les infractions à la loi fédérale sur la circulation routière auraient été commises, A.________ ayant eu pour seule préoccupation d’arriver au plus vite à l’hôpital.</w:t>
      </w:r>
    </w:p>
    <w:p>
      <w:r>
        <w:rPr>
          <w:b/>
        </w:rPr>
        <w:t>E. 3.2</w:t>
      </w:r>
    </w:p>
    <w:p>
      <w:r>
        <w:t>II y a constatation incomplète des faits au sens de l'art. 398 al. 3 let. b CPP lorsque toutes les circonstances de fait et tous les moyens de preuve déterminants pour le jugement n'ont pas été pris en compte par le tribunal de première instance (Kistler Vianin, in : Kuhn/Jeanneret [éd.], Commentaire romand, Code de procédure pénale suisse, Bâle 2011, n. 19 ad art. 398 CPP).</w:t>
      </w:r>
    </w:p>
    <w:p>
      <w:r>
        <w:rPr>
          <w:b/>
        </w:rPr>
        <w:t>E. 3.3</w:t>
      </w:r>
    </w:p>
    <w:p>
      <w:r>
        <w:t>En l’espèce, le jugement retient, en fait, qu’A.________ s’est occupé de sa mère de manière intense jusqu’à son décès, le 16 avril 2016, à tel point qu’il a fini par partager sa vie entre son métier et l’assistance à sa mère, que, selon le Dr  M.________, médecin traitant des deux intéressés, la relation qu’ils entretenaient pouvait être qualifiée de symbiotique et que tous les témoins attestent de l’attachement exceptionnel et inconditionnel qui les unissait. Le jugement expose en outre, dans l’appréciation, que depuis plusieurs années, A.________ veillait sur sa mère d’une manière telle que cela lui prenait presque tout son temps libre, qu’on pouvait dès lors comprendre que, dans le cadre de cette relation qualifiée de symbiotique par le Dr M.________, l’annonce d’une dégradation possible de l’état de santé de sa mère ait causé un état d’égarement le poussant à prendre des risques inconsidérés, mu par sa seule piété filiale. Les premiers juges ont en outre retenu que si les tensions et les inquiétudes suscitées par l’état de sa mère pouvaient expliquer le comportement absurde d’A.________, elles ne l’excusaient pas pour autant et ne pouvaient l’exonérer de sa responsabilité pénale.</w:t>
      </w:r>
    </w:p>
    <w:p>
      <w:r>
        <w:rPr>
          <w:b/>
        </w:rPr>
        <w:t>E. 3.4</w:t>
      </w:r>
    </w:p>
    <w:p>
      <w:r>
        <w:t>En l’occurrence, on doit admettre avec l’appelant que le jugement est particulièrement laconique sur les circonstances qui ont prévalu au moment des faits à juger, dès lors qu’il passe totalement sous silence l’élément déclencheur des faits, soit l’appel téléphonique de X.________. Or, cette circonstance ne peut être qualifiée de peu importante, puisqu’elle seule permet d’expliquer le comportement de l’appelant, qui n’aurait sans aucun doute jamais commis pareille infraction dans une situation normale. Il convient donc de compléter l’état de fait en ce sens que le 16 février 2016, alors qu’il quittait son service à Lutry, A.________ a reçu un appel téléphonique de X.________, une amie de sa mère qui se trouvait au chevet de cette dernière et qui ne s’exprimait qu’en anglais, langue que l’appelant ne parle pas bien. De cette conversation téléphonique, A.________ a compris que sa mère avait été placée sous masque à oxygène et en a déduit avec certitude que son décès était imminent. Il a alors eu pour seule priorité d’arriver au chevet de sa mère, pour être présent si elle devait mourir, comme il en avait fait le serment à son père. Ces faits ressortent de l’audition de X.________ et de celle de l’appelant devant le Tribunal (jgmt, pp. 4 et 11) et sont confirmés par le frère de l’appelant (jgmt, p. 7). Il n’y a aucune raison de mettre en cause la véracité de ces dépositions et les premiers juges ne l’ont du reste pas fait.</w:t>
      </w:r>
    </w:p>
    <w:p>
      <w:r>
        <w:rPr>
          <w:b/>
        </w:rPr>
        <w:t>E. 4.1</w:t>
      </w:r>
    </w:p>
    <w:p>
      <w:r>
        <w:t>L’appelant reproche ensuite aux premiers juges de ne pas s’être penchés attentivement sur la question de l’aspect subjectif de l’infraction. Ceux-ci auraient dû suivre la voie entrouverte par l’arrêt du Tribunal fédéral publié aux ATF 142 IV 137 et constater que l’intention de l’appelant n’a pas porté sur la violation des règles fondamentales de la circulation ni sur le risque d’accident pouvant entraîner de graves blessures ou la mort. L’appelant soutient que sa seule préoccupation était d’arriver au plus vite au chevet de sa mère et que son comportement n’était pas dicté par des considérations égoïstes ou le mépris des autres usagers de la route. Il aurait ainsi dû être condamné uniquement du chef de l’art. 90 al. 2 LCR et non sur la base des al. 3 et 4 de cette disposition.</w:t>
      </w:r>
    </w:p>
    <w:p>
      <w:r>
        <w:rPr>
          <w:b/>
        </w:rPr>
        <w:t>E. 4.2</w:t>
      </w:r>
    </w:p>
    <w:p>
      <w:r>
        <w:t>Selon l’art. 90 LCR,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L’al. 3 est toujours applicable notamment lorsque la vitesse maximale autorisée a été dépassée d’au moins 60 km/h, là où la limite était fixée à 80 km/h (al. 4 let. c). Aucune méthode d'interprétation de l'art. 90 al. 3 et 4 LCR ne permet de retenir l'existence d'une présomption légale irréfragable en faveur de la réalisation des conditions subjectives de l'al. 3 en cas d'excès de vitesse visé à l'al. 4 let. a à d. En effet, par son texte et sa définition, l'art.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Au regard de la jurisprudence publiée rendue à ce jour et afin de garantir une certaine sécurité juridique, notamment en lien avec les répercussions administratives d'une violation grave qualifiée à la LCR,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 ATF 140 IV 133 consid. 4.2.1 ;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w:t>
      </w:r>
    </w:p>
    <w:p>
      <w:r>
        <w:rPr>
          <w:b/>
        </w:rPr>
        <w:t>E. 4.3</w:t>
      </w:r>
    </w:p>
    <w:p>
      <w:r>
        <w:t>En l’espèce, comme l’ont relevé les premiers juges, du fait de son ancienne profession, l’appelant, policier expérimenté, connaissait les lieux et savait quelle était la vitesse autorisée sur ce tronçon. De par sa carrière professionnelle, il connaissait également les dangers engendrés par un comportement tel que celui qu’il a adopté. Ce comportement constituait une mise en danger concrète des autres usagers de la route, en particulier des occupants du véhicule dépassé. D’autres véhicules pouvaient en outre arriver en sens inverse. En circulant à 150 km/h (marge de sécurité réduite) sur un tronçon limité à 80 km/h, l’appelant devait tenir pour possible le risque d’accident pouvant entraîner de graves blessures ou la mort et s’en est accommodé. Partant, faute de circonstance particulière permettant d’écarter la réalisation des aspects subjectifs de l’infraction, la condamnation de l’appelant du chef d’infraction grave qualifiée à la LCR en application de l’art. 90 al. 3 et 4 let. c LCR doit être confirmée.</w:t>
      </w:r>
    </w:p>
    <w:p>
      <w:r>
        <w:rPr>
          <w:b/>
        </w:rPr>
        <w:t>E. 5.1</w:t>
      </w:r>
    </w:p>
    <w:p>
      <w:r>
        <w:t>L’appelant soutient enfin que, même à supposer que la jurisprudence précitée (cf. consid. 4.2 supra) ne soit pas appliquée, il faudrait à tout le moins retenir la circonstance atténuante de l’émotion violente au sens de l’art. 48 let. c CP. Il aurait en effet été submergé par un sentiment violent qui a restreint dans une certaine mesure sa faculté d’analyser correctement la situation. Cette émotion violente qui justifierait le fait qu’il n’ait pas pensé à appeler l’hôpital pour s’enquérir de l’état de sa mère, ainsi que le stress quasi absolu qui l’envahissait, l’auraient conduit à la commission des infractions reprochées.</w:t>
      </w:r>
    </w:p>
    <w:p>
      <w:r>
        <w:rPr>
          <w:b/>
        </w:rPr>
        <w:t>E. 5.2</w:t>
      </w:r>
    </w:p>
    <w:p>
      <w:r>
        <w:t>Aux termes de l’art. 48 let. c CP, le juge atténue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ATF 118 IV 233 consid. 2a). La colère produite par une provocation injuste ou une offense imméritée ne peut être admise que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voie d'autre issue que d'agir ainsi qu'il le fait (ATF 119 IV 202 consid. 2a; ATF 118 IV 233 consid. 2a p. 236). L'état d'émotion violente ou de profond désarroi doit être rendu excusable par les circonstances (ATF 119 IV 203 consid. 2a; ATF 118 IV 233 consid. 2a). Le plus souvent, il est rendu excusable par le comportement blâmable de la victime à l'égard de l'auteur, mais il peut aussi l'être par le comportement d'un tiers ou par des circonstances objectives (ATF 119 IV 202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ATF 107 IV 103 consid. 2b/bb). Il doit par ailleurs s'agir de circonstances objectives, de sorte qu'il faut se demander si un tiers raisonnable, placé dans la même situation que l'auteur, se serait trouvé dans le même état (ATF 108 IV 99 consid. 3b; ATF 107 IV 103 consid. 2b/bb). Pour que la circonstance atténuante invoquée puisse être prise en considération, il faut en outre qu'il existe une certaine proportionnalité entre les circonstances objectives, d'une part, et la réaction de l'auteur, d'autre part (TF 6B_622/2008 du 13 janvier 2009 consid. 8.1; TF 6B_517/2008 du 27 août 2008 consid. 5.3.2).</w:t>
      </w:r>
    </w:p>
    <w:p>
      <w:r>
        <w:rPr>
          <w:b/>
        </w:rPr>
        <w:t>E. 5.3</w:t>
      </w:r>
    </w:p>
    <w:p>
      <w:r>
        <w:t>En l’espèce, le dévouement filial exceptionnel de l’appelant, qui s'est beaucoup occupé de sa mère, est certes digne d'éloges. En outre, il ne fait aucun doute qu’il a perçu de bonne foi les informations données par X.________, lors de leur entretien téléphonique, comme particulièrement inquiétantes et que la perspective du décès de sa mère a fait que l’appelant a été submergé par un sentiment violent, qui a restreint dans une certaine mesure sa faculté d’analyser correctement la situation, faute de quoi, il ne serait pas possible d’expliquer son comportement. Toutefois, on ne saurait retenir que les circonstances étaient objectivement dramatiques. En effet, l’appelant, dont la mère se trouvait à l’hôpital, savait qu’elle pouvait mourir à tout instant. Le fait qu’il devait s’attendre au décès de sa mère, dans un espace protégé, ne permet pas de considérer que les circonstances étaient telles qu’un tiers raisonnable, placé dans la même situation, aurait certainement réagi de la sorte, le lien entre l’appelant et sa mère étant hors norme. A cela s’ajoute que la situation concrète ne justifiait pas une telle prise de risques. L’appelant a en effet mis en danger l’intégrité corporelle, voire la vie, de plusieurs personnes, dans le seul but de gagner seulement quelques secondes sur la durée du trajet, ce qu’il ne pouvait ignorer, compte tenu de son expérience professionnelle. Il a perdu tout contrôle de lui-même et ses réactions étaient tout-à-fait disproportionnées par rapport aux circonstances objectives et aux buts poursuivis. Dans ces conditions, les premiers juges n’ont pas violé le droit fédéral en ne mettant pas l’appelant au bénéfice de la circonstance atténuante visée par l'art. 48 let. c CP pour l’infraction de violation grave qualifiée des règles de la circulation routière.</w:t>
      </w:r>
    </w:p>
    <w:p>
      <w:r>
        <w:rPr>
          <w:b/>
        </w:rPr>
        <w:t>E. 6</w:t>
      </w:r>
    </w:p>
    <w:p>
      <w:r>
        <w:t>L’appelant a conclu à une réduction de peine dans une proportion fixée à dire de justice.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w:t>
      </w:r>
    </w:p>
    <w:p>
      <w:r>
        <w:t>En l’espèce, la culpabilité du prévenu est lourde. Il a commis un excès de vitesse justifiant une peine privative de liberté d’au minimum 12 mois et a de surcroît effectué un dépassement hasardeux et dangereux, dans le but de réduire de quelques secondes seulement son temps de parcours. Il a ainsi créé un risque sérieux pour la vie et l’intégrité physique des autres usagers. Vu sa fonction de policier, son comportement est d’autant plus inadmissible. A décharge, il faut prendre en compte le fait que l’appelant ne conteste ni les faits, ni le principe de sa condamnation, et qu’il a perdu son travail, ainsi que toute perspective de poursuivre une carrière dans la police, malgré trente-cinq années de service jugé excellent. Il convient par ailleurs de tenir plus largement compte que ne l’ont fait les premiers juges des particularités du cas d’espèce, soit du contexte familial et de l’ensemble des circonstances plaidées ci-avant par la défense, d’autant plus que le jugement est muet sur le facteur déclencheur du comportement reproché à l’appelant. Compte tenu de ce qui précède, une peine privative de liberté de 12 mois est adéquate pour sanctionner le comportement d’A.________. En l’absence d’antécédents, cette peine peut être assortie du sursis, le délai d’épreuve étant fixé à deux ans. Pour les motifs pertinents retenus par le Tribunal correctionnel, il y a lieu de renoncer à prononcer une sanction immédiate.</w:t>
      </w:r>
    </w:p>
    <w:p>
      <w:r>
        <w:rPr>
          <w:b/>
        </w:rPr>
        <w:t>E. 7</w:t>
      </w:r>
    </w:p>
    <w:p>
      <w:r>
        <w:t>En conclusion, l’appel doit être partiellement admis et le jugement attaqué réformé dans le sens des considérants qui précèdent. Vu l'issue de la cause, les frais d'appel, constitués du seul émolument de jugement, par 2’020 fr. (art. 21 al. 1 TFIP [Tarif des frais de procédure et indemnités en matière pénale du 28 septembre 2010 ; RSV 312.03.1]), seront mis par moitié à la charge d’A.________, qui succombe en partie (art. 428 al. 1 CPP), le solde étant laissé à la charge de l’Etat. La Cour d’appel pénale, appliquant les art. 40, 42 al. 1, 44 al. 1, 47, 50 CP, 90 al. 3 et 4 let. c LCR et 398 ss CPP, prononce : I. L’appel est partiellement admis. II. Le jugement rendu le 15 février 2017 par le Tribunal correctionnel de l’arrondissement de l’Est vaudois est modifié comme il suit au chiffre III de son dispositif, le dispositif du jugement étant désormais le suivant : " I. libère A.________ du grief de conduite en état d’incapacité; II. constate qu’A.________ s’est rendu coupable de violation grave qualifiée des règles de la circulation routière; III. condamne A.________ à une peine privative de liberté d’un an, avec sursis pendant 2 ans; IV. renonce à prononcer une sanction immédiate; V. dit qu’il n’y a pas lieu au versement d’une indemnité au sens de l’art. 429 CPP; VI. met les frais de la cause, par 4'075 fr., à la charge d’A.________." III. Les frais d'appel, par 2'020 fr., sont mis par moitié à la charge d’A.________, le solde étant laissé à la charge de l’Etat. IV. Le jugement motivé est exécutoire. Le président :              La greffière : Du Le jugement qui précède, dont le dispositif a été communiqué par écrit aux intéressés le</w:t>
      </w:r>
    </w:p>
    <w:p>
      <w:r>
        <w:rPr>
          <w:b/>
        </w:rPr>
        <w:t>E. 11</w:t>
      </w:r>
    </w:p>
    <w:p>
      <w:r>
        <w:t>juillet 2017 , est notifié, par l'envoi d'une copie complète, à : - Me Christian Favre, avocat (pour A.________), - M. le Procureur général adjoint, et communiqué à : - M. le Président du Tribunal correctionnel de l'arrondissement de l’Est vaudois,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