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218 vom 3. Februar 2017</w:t>
      </w:r>
    </w:p>
    <w:p>
      <w:r>
        <w:t>VD Tribunal cantonal, 2017-02-03, FR</w:t>
      </w:r>
    </w:p>
    <w:p>
      <w:r>
        <w:rPr>
          <w:b/>
        </w:rPr>
        <w:t xml:space="preserve">Quelle: </w:t>
      </w:r>
      <w:r>
        <w:t>https://mcp.opencaselaw.ch/entscheid/vd_findinfo_Jug___2017___218</w:t>
      </w:r>
    </w:p>
    <w:p>
      <w:r>
        <w:t>FR: VD_FINDINFO Jug / 2017 / 218 du 3 février 2017</w:t>
      </w:r>
    </w:p>
    <w:p>
      <w:r>
        <w:t>IT: VD_FINDINFO Jug / 2017 / 218 del 3 febbraio 2017</w:t>
      </w:r>
    </w:p>
    <w:p>
      <w:pPr>
        <w:pStyle w:val="Heading2"/>
      </w:pPr>
      <w:r>
        <w:t>Regeste</w:t>
      </w:r>
    </w:p>
    <w:p>
      <w:r>
        <w:t>FRAIS DE LA PROCÉDURE, ACTE ILLICITE | 426 al. 2 CPP (CH), 430 al. 1 let. a CPP (CH)</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 L’appel portant exclusivement sur des frais et indemnités, il est soumis à la procédure écrite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L’appelant conteste sa condamnation aux frais en soutenant qu’il n’aurait pas provoqué l’ouverture de l’enquête pénale qui s’enracinerait dans un litige matrimonial, la plainte pénale de son épouse étant tardive et ses conclusions civiles irrecevables, car déjà soumises au juge civil du partage des avoirs de prévoyance selon la LPP. Aucun comportement illicite ou gravement fautif ne lui serait dès lors imputable, la présomption d’innocence s’opposant à ce que sa condamnation aux frais laisse entendre qu’il serait néanmoins coupable des infractions dont il a été libéré. Il en déduit que l’Etat devrait supporter tout ou partie des frais, sa libération des frais lui ouvrant le droit à une indemnité pour ses frais de défense.</w:t>
      </w:r>
    </w:p>
    <w:p>
      <w:r>
        <w:rPr>
          <w:b/>
        </w:rPr>
        <w:t>E. 3.2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et les références citées). Une condamnation aux frais ne peut se justifier que si, en raison du comportement illicite du prévenu, l'autorité était légitimement en droit d'ouvrir une enquête.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116 Ia 162 consid. 2c p. 168 ss), dans le sens d'une application par analogie de l'art. 41 CO. Le but est d'éviter que l'État doive assumer les frais d'une enquête ouverte en raison d'un comportement fautif d'un justiciable, ce qui serait insatisfaisant et même choquant (voir ATF 116 Ia 162 consid. 2d/bb p. 173). Dans ce contexte, le fardeau de la preuve incombe à l'État (Domeisen, in : Basler Kommentar, Schweizerische Strafprozessordnung, 2 e éd., 2014, n° 35 ad art. 426 CPP; Hauser/Schweri/ Hartmann, Schweizerisches Strafprozessrecht,</w:t>
      </w:r>
    </w:p>
    <w:p>
      <w:r>
        <w:rPr>
          <w:b/>
        </w:rPr>
        <w:t>E. 6</w:t>
      </w:r>
    </w:p>
    <w:p>
      <w:r>
        <w:t>e éd., 2005, n. 27 ad § 108; voir aussi TF 6B_71/2009 du 28 mai 2009 consid. 1.4). S'agissant d'établir une responsabilité de nature essentiellement civile, les exigences en matière de preuves ne sont pas celles qui prévalent pour déterminer la culpabilité. 4. 4.1 Selon le tribunal de police (jugement, p. 17), le prévenu a eu un comportement civilement répréhensible à l’égard de la Fondation de prévoyance [...] en abusant de sa position (de directeur et de président du conseil de fondation) à son profit pour obtenir le versement en espèces d’avoirs de prévoyance pour l’acquisition d’un logement, de sorte que les frais de procédure devaient être mis à sa charge. 4.2 Dans sa teneur en vigueur à l’époque des faits incriminés (RO 1994 2373), soit fin 2007 et début 2008, l’art. 30c LPP intitulé « versement anticipé » comportait un alinéa 5 ayant la teneur suivante : « Lorsque l’assuré est marié, le versement n’est autorisé que si le conjoint donne son consentement écrit. S’il n’est pas possible de recueillir ce consentement ou s’il est refusé, l’assuré peut en appeler au tribunal ». Du reste, la teneur de l’art. 30c LPP en vigueur dès le 1 er janvier 2017 (RO 2016 2322) maintient l’exigence du consentement écrit du conjoint pour le versement anticipé. En transgressant cette règle de protection des prétentions LPP du conjoint, que le jugement qualifie à juste titre d’élémentaire (p. 17), l’appelant a adopté un comportement fautif et contraire à une règle de l’ordre juridique. Il en va d’autant ainsi qu’il a abusé de sa double qualité d’employé (soit de directeur) et de président du conseil de fondation de l’institution de prévoyance pour contourner l’obligation de consentement du conjoint. La Cour ajoutera que le régime matrimonial des époux (séparation de biens; cf. P. 5/1) n’est pas déterminant à cet égard, faute pour la législation sociale de retenir ce critère en matière de versement anticipé d’avoirs de prévoyance selon l’art. 30c LPP. Cette violation d’une règle civile est en relation de causalité avec l’ouverture de la procédure pénale et les frais que celle-ci a occasionnés. La condamnation aux frais de l’appelant ne procède dès lors d’aucune violation de la présomption d’innocence et ne donne nullement à penser qu’il aurait commis les infractions patrimoniales dont il a été acquitté. Elle doit donc être confirmée. 4.3 Selon l’art. 430 al. 1 let. a CPP, l'autorité pénale peut réduire ou refuser l'indemnité ou la réparation du tort moral si le prévenu a provoqué illicitement et fautivement l'ouverture de la procédure ou a rendu plus difficile la conduite de celle-ci. Il découle de la norme ci-dessus que la question de l'indemnisation du prévenu (art. 429 CPP) doit être traitée en relation avec celle des frais (art. 426 CPP). Si le prévenu supporte les frais en application de l'art. 426 al. 1 ou 2 CPP, une indemnité est en règle générale exclue (ATF 137 IV 352 consid. 2.4.2 p. 357). Etant admis que c'est à juste titre que les frais de la procédure ont été mis à la charge de l’appelant en application de l'art. 426 al. 2 CPP (cf. ci-dessus), c'est aussi sans violer le droit fédéral qu'aucune indemnité ne lui a été allouée en vertu de l'art. 429 CPP, comme en a statué à juste titre également le tribunal de police (cf. jugement, p. 17 in fine). 5. Vu l’issue de l’appel, les frais d’appel (art. 21 al. 1 et 2 TFIP), limités à l’émolument,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