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202 vom 19. Januar 2017</w:t>
      </w:r>
    </w:p>
    <w:p>
      <w:r>
        <w:t>VD Tribunal cantonal, 2017-01-19, FR</w:t>
      </w:r>
    </w:p>
    <w:p>
      <w:r>
        <w:rPr>
          <w:b/>
        </w:rPr>
        <w:t xml:space="preserve">Quelle: </w:t>
      </w:r>
      <w:r>
        <w:t>https://mcp.opencaselaw.ch/entscheid/vd_findinfo_Jug___2017___202</w:t>
      </w:r>
    </w:p>
    <w:p>
      <w:r>
        <w:t>FR: VD_FINDINFO Jug / 2017 / 202 du 19 janvier 2017</w:t>
      </w:r>
    </w:p>
    <w:p>
      <w:r>
        <w:t>IT: VD_FINDINFO Jug / 2017 / 202 del 19 gennaio 2017</w:t>
      </w:r>
    </w:p>
    <w:p>
      <w:pPr>
        <w:pStyle w:val="Heading2"/>
      </w:pPr>
      <w:r>
        <w:t>Regeste</w:t>
      </w:r>
    </w:p>
    <w:p>
      <w:r>
        <w:t>CIRCULATION ROUTIÈRE{DROIT DE LA CIRCULATION ROUTIÈRE}, EXCÈS DE VITESSE, MAÎTRISE DU VÉHICULE, EXEMPTION DE PEINE | 54 CP, 31 al. 1 LCR, 32 al. 1 LCR, 90 al. 1 LCR</w:t>
      </w:r>
    </w:p>
    <w:p>
      <w:pPr>
        <w:pStyle w:val="Heading2"/>
      </w:pPr>
      <w:r>
        <w:t>Erwägungen</w:t>
      </w:r>
    </w:p>
    <w:p>
      <w:r>
        <w:rPr>
          <w:b/>
        </w:rPr>
        <w:t>E. 1.1</w:t>
      </w:r>
    </w:p>
    <w:p>
      <w:r>
        <w:t>Interjeté dans les formes et délais légaux (art. 399 CPP [Code de procédure pénale suisse du 5 octobre 2007; RS 312.0])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RSV 312.01]).</w:t>
      </w:r>
    </w:p>
    <w:p>
      <w:r>
        <w:rPr>
          <w:b/>
        </w:rPr>
        <w:t>E. 2</w:t>
      </w:r>
    </w:p>
    <w:p>
      <w:r>
        <w:t>L’appelant a requis d’être mis au bénéfice de l’assistance judiciaire, faisant valoir son indigence  et le fait que sa cause ne serait pas dénuée de chances de succès.</w:t>
      </w:r>
    </w:p>
    <w:p>
      <w:r>
        <w:rPr>
          <w:b/>
        </w:rPr>
        <w:t>E. 2.1</w:t>
      </w:r>
    </w:p>
    <w:p>
      <w:r>
        <w:t>En dehors des cas de défense obligatoire au sens de l'art. 130 CPP, cas non réalisé en l'espèce, la direction de la procédure ordonne une défense d'office si le prévenu ne dispose pas des moyens nécessaires et si l'assistance d'un défenseur est justifiée pour sauvegarder ses intérêts (art. 132 al. 1 let. b CPP). Ces deux conditions sont cumulatives.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(ATF 128 I 225 consid. 2.5.2).</w:t>
      </w:r>
    </w:p>
    <w:p>
      <w:r>
        <w:rPr>
          <w:b/>
        </w:rPr>
        <w:t>E. 2.2</w:t>
      </w:r>
    </w:p>
    <w:p>
      <w:r>
        <w:t>En l'occurrence, C.________ a été condamné en première instance à 400 fr. d’amende pour violation simple des règles sur la circulation routière. La désignation d'un défenseur d'office ne se justifie aucunement. Bien qu’il soit vraisemblablement indigent, l'affaire est de peu de gravité et elle ne présente pas, sur le plan des faits ou du droit, ni même des règles de procédure applicables, des difficultés que le prévenu – même dénué de formation juridique – ne serait en mesure de surmonter seul. Les conditions de l'art. 132 al. 2 let. b CPP ne sont dès lors pas réunies, de sorte que la requête d’assistance judiciaire jointe à l’appel doit être rejetée.</w:t>
      </w:r>
    </w:p>
    <w:p>
      <w:r>
        <w:rPr>
          <w:b/>
        </w:rPr>
        <w:t>E. 3.1</w:t>
      </w:r>
    </w:p>
    <w:p>
      <w:r>
        <w:t>Aux termes de l’art. 398 al. 4 CPP, lorsque, comme en l’espèce, seule une contravention a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Cette disposition s’applique à titre de droit cantonal supplétif (cf. art. 10 al. 1 LContr [ Loi vaudoise sur les contraventions du 19 mai 2009; RSV 312.11 ]). Il s’agit là d’une exception au principe du plein pouvoir de cognition de l’autorité de deuxième instance qui conduit à qualifier cette voie de droit d’appel « restreint » (TF 1B_768/2012 du 15 janvier 2013 consid. 2.1 et les références citées). La partie appelante peut cependant valablement renouveler en appel les réquisitions de preuve formulées devant le premier juge et qui ont été rejetées (TF 6B_362/2012 du 29 octobre 2012 consid. 8.4.1). Le pouvoir d’examen de l’autorité d’appel est ainsi limité dans l’appréciation des faits à ce qui a été établi de manière arbitraire, la formulation de la disposition correspondant à celle de l’art. 97 al. 1 LTF (Loi sur le Tribunal fédéral du 17 juin 2005; RS 173.110) (TF 6B_362/2012 précité consid. 5.2 et les références citées). En revanche, la juridiction d’appel peut revoir librement le droit (Kistler Vianin, in : Commentaire romand, Code de procédure pénale suisse, Bâle 2011, n. 22 et 23 ad art. 398 CPP).</w:t>
      </w:r>
    </w:p>
    <w:p>
      <w:r>
        <w:rPr>
          <w:b/>
        </w:rPr>
        <w:t>E. 3.2</w:t>
      </w:r>
    </w:p>
    <w:p>
      <w:r>
        <w:t>En l’espèce, l’appelant a notamment requis sa propre audition en qualité de partie et celle de [...] en qualité de témoin. Aucun motif ne justifie de déroger à la règle de la procédure écrite en cas de contravention, de sorte qu’il n’y a pas lieu de tenir une audience publique et d’entendre le prévenu. En outre, le témoin a été entendu à deux reprises, par la police et devant le Tribunal de police, de sorte qu’il n’y a pas non plus lieu de procéder à une nouvelle audition de celui-ci. Au demeurant, l’appelant ne fait valoir aucun motif qui justifierait de donner suite à ses réquisitions de preuves, pas plus qu’il n’a précisé sur quels faits ces moyens de preuve devraient porter. Quant aux pièces que l’appelant a produites à l’appui de sa requête d’assistance judiciaire, dans la mesure où elles ont trait à sa situation personnelle, elles sont recevables.</w:t>
      </w:r>
    </w:p>
    <w:p>
      <w:r>
        <w:rPr>
          <w:b/>
        </w:rPr>
        <w:t>E. 4</w:t>
      </w:r>
    </w:p>
    <w:p>
      <w:r>
        <w:t>L’appelant conteste avoir conduit à une vitesse inadaptée. Il affirme également qu’il aurait donné un coup de volant afin d’éviter un véhicule qui lui aurait coupé la route. Ainsi, la perte de maîtrise ne lui serait pas imputable. Il se prévaut en outre du principe de la présomption d’innocence.</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4.2</w:t>
      </w:r>
    </w:p>
    <w:p>
      <w:r>
        <w:t>Aux termes de l’art. 32 al. 1 LCR (Loi fédérale du 19 décembre 1958 sur la circulation routière; RS 741.01), la vitesse doit toujours être adaptée aux circonstances, notamment aux particularités du véhicule et du chargement, ainsi qu'aux conditions de la route, de la circulation et de la visibilité. Cette règle implique notamment que l’on ne peut circuler à la vitesse maximale autorisée que si les conditions de la route, du trafic et de visibilité sont favorables (ATF 121 IV 286 consid. 4b; ATF 121 II 127 consid. 4a). La violation de l’art. 32 al. 1 LCR n’est pas subordonnée à la condition de la perte de maîtrise du véhicule (TF 4A_76/2009 du</w:t>
      </w:r>
    </w:p>
    <w:p>
      <w:r>
        <w:rPr>
          <w:b/>
        </w:rPr>
        <w:t>E. 4.3.1</w:t>
      </w:r>
    </w:p>
    <w:p>
      <w:r>
        <w:t>A teneur de l'art. 31 al. 1 LCR, le conducteur devra rester constamment maître de son véhicule de façon à pouvoir se conformer aux devoirs de la prudence. L'art. 3 al. 1 OCR précise que le conducteur vouera son attention à la route et à la circulation. Il évitera toute occupation qui rendrait plus difficile la conduite du véhicule. Il veillera en outre à ce que son attention ne soit distraite. Le degré de l'attention requise par l'art. 3 al. 1 OCR s'apprécie au regard des circonstances d'espèce, telles que la densité du trafic, la configuration des lieux, l'heure, la visibilité et les sources de danger prévisibles (TF 6B_873/2014 du 5 janvier 2015 consid. 2.1; ATF 127 II 302 consid. 3c p. 303 et les références citées ; ATF 103 IV 101 consid. 2b).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6B_873/2014 du 5 janvier 2015 consid. 2.1; TF 6B_216/2010 du</w:t>
      </w:r>
    </w:p>
    <w:p>
      <w:r>
        <w:rPr>
          <w:b/>
        </w:rPr>
        <w:t>E. 4.3.2</w:t>
      </w:r>
    </w:p>
    <w:p>
      <w:r>
        <w:t>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(TF 6B_873/2014 du 5 janvier 2015 consid. 2.4.1; ATF 118 IV 277 consid. 4a; ATF 104 IV 28 consid. 3; ATF 99 IV 173 consid. 3b). Seul celui qui s'est comporté réglementairement peut invoquer le principe de la confiance. Celui qui viole des règles de la circulation et crée ainsi une situation confuse ou dangereuse ne peut pas attendre des autres qu'ils parent à ce danger par une attention accrue (ATF 129 IV 282 consid. 2.2.1 p. 285 et les arrêts cités).</w:t>
      </w:r>
    </w:p>
    <w:p>
      <w:r>
        <w:rPr>
          <w:b/>
        </w:rPr>
        <w:t>E. 4.4</w:t>
      </w:r>
    </w:p>
    <w:p>
      <w:r>
        <w:t>En l’espèce, l’appelant commençait son premier jour de travail et devait effectuer un transport de matériaux de Saint-Légier à Châtel-Saint-Denis. Son camion était alors chargé de 21'120 kg de terre, soit un chargement conforme à la charge utile de 23'000 kg figurant sur le permis de circulation du véhicule. Il avait déjà effectué quatre fois ce trajet dans la journée. Il ressort du rapport de police du 19 juillet 2016 qu’aucune infraction, tant au niveau du camion que de son conducteur, n’a été mise en évidence par le tachygraphe. Interrogé par la police, le prévenu a estimé sa vitesse entre 15 et 20 km/h lorsqu’il s’est engagé dans le giratoire. Le tachygraphe du camion a toutefois démontré qu’il roulait encore moins vite, soit à une vitesse de 14 km/h lorsque l’accident est survenu. Le témoin [...], entendu par la police le 19 juillet 2016, suivait le camion du prévenu et a déclaré qu’il ne roulait pas vite et que, peu de temps après, il s’était couché sur le flanc droit. Il a en substance fait les mêmes déclarations devant le Tribunal de police. En conséquence, même si son véhicule était chargé et que le prévenu devait faire preuve de la plus grande vigilance, l’instruction ne permet pas de retenir que sa vitesse était excessive ou inadaptée.</w:t>
      </w:r>
    </w:p>
    <w:p>
      <w:r>
        <w:rPr>
          <w:b/>
        </w:rPr>
        <w:t>E. 4.5</w:t>
      </w:r>
    </w:p>
    <w:p>
      <w:r>
        <w:t>Le prévenu prétend que, peu avant la chaussée qui arrive sur le rond-point où s’est produit l’accident, une automobile se serait engagée rapidement devant lui, très près du camion, de sorte qu’il aurait été contraint de donner un coup de volant afin d’éviter une collision. Il n’a pas donné de précision sur ce prétendu véhicule qui lui aurait coupé la route, outre qu’il se serait agi d’un véhicule sombre. Le témoin n’a pas parlé spontanément de ce véhicule à la police. Interrogé par le Tribunal de police, il n’a pas pu préciser si un véhicule avait coupé la route au camion de l’appelant, dès lors qu’il regardait à gauche, mais a indiqué qu’il y avait peu de circulation. Il est douteux que le témoin ait pu ne rien voir compte tenu de la configuration des lieux. Dans ces conditions, il y a lieu d’écarter la version de l’appelant, qui n’est pas crédible. Son argumentation relative à un état de nécessité au sens de l’art. 17 CP (Code pénal du 21 décembre 1937; RS 311.0) doit dès lors être écartée pour ce premier motif. Quoi qu’il en soit, même en admettant qu’une automobile lui aurait coupé la route, la perte de maîtrise serait entièrement imputable au prévenu. En effet, compte tenu de la vitesse à laquelle il circulait, il aurait pu et dû freiner, dès lors qu’il lui incombait d’être prêt à réagir à tout moment de façon appropriée aux circonstances et en présence d’un danger quelconque. En outre, en sa qualité de chauffeur professionnel, il devait savoir que donner un coup de volant avec un poids lourd chargé pouvait avoir les conséquences qui se sont produites. Il se devait au demeurant d’être encore plus prudent car c’était son premier jour de travail. Enfin, le prévenu ne saurait se prévaloir du principe de la confiance comme il le fait, dans la mesure où il a violé les règles de prudence élémentaires. A cet égard, on relèvera qu’il n’est pas rare que des véhicules s’engagent rapidement dans un rond-point, de sorte qu’il devait s’attendre à une telle éventualité. L’argumentation de l’appelant relative à un prétendu état de nécessité doit donc être écartée pour ce motif également. Au vu de ce qui précède, il y a lieu de retenir que C.________ s’est bien rendu coupable de l’infraction réprimée par l’art. 31 al. 1 LCR. 5. L’appelant conteste la peine qui lui a été infligée et conclut à une exemption de peine.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 Selon l’art. 54 CP, si l’auteur a été directement atteint par les conséquences de son acte au point qu’une peine serait inappropriée, l’autorité compétente renonce à le poursuivre, à le renvoyer devant le juge ou à lui infliger une peine.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(ATF 137 IV 105, JdT IV 378; TF 6B_111/2009 du 16 juillet 2009 consid. 3.2 et les références citées). L’art. 54 CP, qui s’applique dans des situations exceptionnelles, exige que les conséquences de l’acte pour son auteur aient été importantes.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possible de cette disposition. Les conséquences de l’acte sont celles qu’endure l’auteur de l’acte lui-même et non les effets de l’acte sur son entourage (ATF 137 IV 105 précité). 5.3 En l’espèce, l’appelant est chauffeur professionnel et a déjà fait l’objet de trois mesures administratives, dont une pour inattention et une autre pour inobservation des conditions. Il a, pour une cause inconnue, donné un coup de volant et perdu la maîtrise de son véhicule. Le prononcé d’une amende – par ailleurs modeste – ne paraît dès lors pas choquant au vu de la faute commise et des risques que l’accident pouvait faire courir à des tiers. Ainsi, le fait que le prévenu ait été blessé (côtes cassées et clavicule fissurée), qu’il ait subi une incapacité de travail et ait même perdu celui-ci ne constituent pas des conséquences directes suffisamment graves permettant de l’exempter de toute peine. Les infractions routières ont au demeurant souvent des conséquences importantes. Il a par ailleurs admis qu’il ne faisait pas usage de sa ceinture de sécurité lors de l’accident, de sorte que les lésions qu’il a subies sont au moins en partie liées à une faute de sa part. Par conséquent, il y a lieu de sanctionner la perte de maîtrise du véhicule et l’absence de port de la ceinture de sécurité par une amende, qui sera arrêtée à 300 francs, la peine privative de liberté de substitution étant de trois jours. 6. Il découle de ce qui précède que l’appel interjeté par C.________ doit être partiellement admis et le jugement entrepris réformé dans le sens des considérants.</w:t>
      </w:r>
    </w:p>
    <w:p>
      <w:r>
        <w:rPr>
          <w:b/>
        </w:rPr>
        <w:t>E. 6</w:t>
      </w:r>
    </w:p>
    <w:p>
      <w:r>
        <w:t>avril 2009 consid. 3.2).</w:t>
      </w:r>
    </w:p>
    <w:p>
      <w:r>
        <w:rPr>
          <w:b/>
        </w:rPr>
        <w:t>E. 6.1</w:t>
      </w:r>
    </w:p>
    <w:p>
      <w:r>
        <w:t>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6B_237/2016 précité). En l’occurrence, il n’y a pas lieu d’octroyer à l’appelant une indemnité au sens de l’art. 429 al. 1 let. a CPP, dès lors que l’acquittement ne porte que sur la question de la simple vitesse inadaptée, pour laquelle un recours à un avocat n’est pas raisonnable.</w:t>
      </w:r>
    </w:p>
    <w:p>
      <w:r>
        <w:rPr>
          <w:b/>
        </w:rPr>
        <w:t>E. 6.2</w:t>
      </w:r>
    </w:p>
    <w:p>
      <w:r>
        <w:t>Vu l’issue de la cause, les frais de la procédure d’appel, constitués en l’espèce de l’émolument d’arrêt, par 1’080 fr. (art. 21 al. 1 TFIP [Tarif des frais de procédure et indemnités en matière pénale du 28 septembre 2010; RSV 312.03.1]), seront mis pour moitié, soit par 540 fr., à la charge de C.________ qui succombe partiellement (art. 428 al. 1 CPP), le solde étant laissé à la charge de l’Etat.</w:t>
      </w:r>
    </w:p>
    <w:p>
      <w:r>
        <w:rPr>
          <w:b/>
        </w:rPr>
        <w:t>E. 11</w:t>
      </w:r>
    </w:p>
    <w:p>
      <w:r>
        <w:t>mai 2010 consid. 5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