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2017 / 18 vom 12. April 2016</w:t>
      </w:r>
    </w:p>
    <w:p>
      <w:r>
        <w:t>VD Tribunal cantonal, 2016-04-12, FR</w:t>
      </w:r>
    </w:p>
    <w:p>
      <w:r>
        <w:rPr>
          <w:b/>
        </w:rPr>
        <w:t xml:space="preserve">Quelle: </w:t>
      </w:r>
      <w:r>
        <w:t>https://mcp.opencaselaw.ch/entscheid/vd_findinfo_Jug___2017___18</w:t>
      </w:r>
    </w:p>
    <w:p>
      <w:r>
        <w:t>FR: VD_FINDINFO Jug / 2017 / 18 du 12 avril 2016</w:t>
      </w:r>
    </w:p>
    <w:p>
      <w:r>
        <w:t>IT: VD_FINDINFO Jug / 2017 / 18 del 12 aprile 2016</w:t>
      </w:r>
    </w:p>
    <w:p>
      <w:pPr>
        <w:pStyle w:val="Heading2"/>
      </w:pPr>
      <w:r>
        <w:t>Regeste</w:t>
      </w:r>
    </w:p>
    <w:p>
      <w:r>
        <w:t>ESCROQUERIE, FORCE PROBANTE, TÉMOIN | 146 al. 1 CP</w:t>
      </w:r>
    </w:p>
    <w:p>
      <w:pPr>
        <w:pStyle w:val="Heading2"/>
      </w:pPr>
      <w:r>
        <w:t>Erwägungen</w:t>
      </w:r>
    </w:p>
    <w:p>
      <w:r>
        <w:rPr>
          <w:b/>
        </w:rPr>
        <w:t>E. 1.1</w:t>
      </w:r>
    </w:p>
    <w:p>
      <w:r>
        <w:t>Interjeté dans les formes et délai légaux (art. 399 CPP [Code de procédure pénale suisse du</w:t>
      </w:r>
    </w:p>
    <w:p>
      <w:r>
        <w:rPr>
          <w:b/>
        </w:rPr>
        <w:t>E. 1.2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 consid. 3.1). 2. 2.1 L’appelant fait grief au Tribunal de première instance de s’être exclusivement basé sur les propos de C.________ de [...]. Il lui reproche en outre d’avoir tenu ses propres déclarations pour contradictoires. 2.2 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 RS 0.103.2), 6 par. 2 CEDH (Convention de sauvegarde des droits de l’homme et des libertés fondamentales du 4 novembre 1950 ; RS 0.101) et 32 al. 1 Cst. (Constitution fédérale de la Confédération suisse du 18 avril 1999 ; RS 101),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 L’appréciation des preuves est l’acte par lequel le juge du fond évalue la valeur de persuasion des moyens de preuve à disposition et pondère ces différents moyens de preuve afin de parvenir à une conclusion sur la réalisation ou non des éléments de fait pertinents pour l’application du droit pénal matériel. L’appréciation des preuves est dite libre, car le juge peut par exemple attribuer plus de crédit à un témoin, même prévenu dans la même affaire, dont la déclaration va dans un sens, qu’à plusieurs témoins soutenant la thèse inverse ; il peut fonder une condamnation sur un faisceau d’indices ; en cas de versions contradictoires, il doit déterminer laquelle est la plus crédible. En d’autres termes, ce n’est ni le genre ni le nombre des preuves qui est déterminant, mais leur force de persuasion (Verniory, in : Commentaire romand, Code de procédure pénale suisse, Bâle 2011, n. 34 ad art. 10 CPP et les références citées). 2.3.1 2.3.1.1 F.________ explique que C.________ a informé S.________ que son employeur était impliqué dans cette affaire, alors que le prénommé avait clairement déclaré qu’aucune personne auprès de V.________ n’était au courant. Il estime que cela démontre que S.________ douterait de l’implication de l’appelant dans cette affaire et que ce serait en sombrant dans l’arbitraire que le premier juge a retenu la version contraire de C.________. 2.3.1.2 En l’occurrence, C.________ a été auditionné à quatre reprises (PV aud. 3, 4, 14 et 18) ainsi qu’à l’audience de jugement. Dans ces auditions, jamais il n’affirme avoir parlé de F.________ à S.________. Il est ainsi normal que ce dernier ne puisse rien dire au sujet de l’implication de l’appelant. Dans tous les cas, cela ne signifie pas que F.________ n’a rien fait, mais simplement que S.________ ne sait pas, ce qu’il a encore confirmé aux débats (jugement attaqué, p. 11). Partant, l’appréciation du premier Juge sur les déclarations constantes de C.________ ne prête pas le flanc à la critique. 2.3.2 2.3.2.1 L’appelant explique ensuite que [...] a déclaré dans son audition (PV aud. 22) qu’elle avait conclu un contrat de type « business » pour son propre compte en sa présence et qu’une carte de visite d’un institut avec un nom bidon avait été établie et annexée à ce contrat. Il relève que E.________ avait fait une offre « pack » à V.________, dont les employés pouvaient bénéficier, selon les dires du témoin [...] [...], employé de la Société précitée (PV aud. 23). Il estime ainsi que ce contrat ne présentait rien de délictueux, et qu’il n’était pas nécessaire de confectionner une fausse carte de visite pour attester de l’existence d’une société. Il a encore ajouté que cette carte ne figurait pas au dossier et que son existence était ainsi douteuse. 2.3.2.2 En l’occurrence, si, dans ses déclarations, [...], qui s’occupe des revendeurs de E.________ confirme qu’une offre de « pack » avait bien été faite aux employés de V.________, il ne peut pas être plus précis à ce sujet (PV aud. 23 l. 161 et 162). Cette phrase ne porte toutefois pas atteinte à la crédibilité des déclarations de [...], vendeuse qui, très au fait des différents contrats proposés, parle clairement de la conclusion en sa faveur d’un contrat « business » qui devait lui servir de modèle pour ses futures conclusions et qui pense même avoir été commissionnée pour le contrat conclu en sa faveur (PV aud. 22 l. 90 à 94). [...] ne décrit donc clairement pas une offre de pack dont elle aurait pu bénéficier en qualité d’employée. Elle est également très claire sur le fait qu’une carte de visite d’un « institut avec un nom bidon » avait été établie et annexée au contrat, et sur la présence de l’appelant lorsqu’elle a signé le contrat (PV aud. 22 l. 80 à 83). On ne voit pas au surplus pas pour quel motif [...] inventerait cette histoire de fausse carte de visite. Finalement, que le contrat ait été établi au nom de cette dernière personnellement et non au nom d’une société, n’exclut pas qu’une raison individuelle ait été évoquée. De même, le fait que d’autres employés aient pu bénéficier légalement d’une offre « pack » ne signifie pas que tel a également été le cas de [...]. Le raisonnement du premier juge sur ce point ne prête pas le flanc à la critique. Mal fondé, ce grief doit être rejeté. 2.3.3 2.3.3.1 Enfin, l’appelant expose que ses déclarations (PV aud. 5), retenues à charge par les premiers Juges, doivent être nuancées et replacées dans leur contexte. 2.3.3.2 L’appelant a lui-même déclaré (PV aud. 5, R6) qu’il savait qu’il arrivait à C.________ de faire lui-même ces cartes de visite et a admis avoir fermé les yeux sur cette pratique. Partant, tout le « contexte » qu’il expose ensuite n’y change rien. 2.4 Vu ce qui précède, force est de constater que l’on dispose de trois éléments convergents, soit les témoignages précités, qui justifient l’état de fait retenu par le premier juge. Ces éléments ne sont ébranlés par aucun élément du dossier et, partant, l’état de fait retenu par le jugement attaqué peut être confirmé en appel. 3. 3.1 L’appelant fait ensuite grief au premier juge d’avoir retenu qu’il avait agi comme coauteur de l’infraction. Il soutient que l’on ne peut pas retenir la coaction uniquement parce qu’il aurait eu connaissance des agissements de C.________. 3.2 Est un coauteur celui qui collabore, intentionnellement et de manière déterminante, avec d’autres personnes à la décision de commettre une infraction, à son organisation ou à son exécution, au point d’apparaître comme l’un des participants principaux ; il faut que, d’après les circonstances du cas concret, la contribution du coauteur apparaisse essentielle à la réalisation de l‘infraction. La seule volonté de l’acte ne suffit pas ;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final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3.3 En l’occurrence, le Tribunal de première instance n’a pas seulement retenu que F.________ avait connaissance de ce qui se passait, mais il a également retenu que l’intéressé avait demandé à C.________ de prendre des précautions pour éviter d’éveiller les soupçons et lui a donné des indications pour confectionner des cartes de visite (PV aud. 18, l. 31 et PV aud. 4 R6). C’est donc bien un comportement qui est imputé à l’appelant, dans le cadre d’une volonté délictueuse commune. Partant, c’est à juste titre que le premier juge a retenu que les quatre prévenus avaient agi comme coauteurs (cf. consid. 3.2 supra). Mal fondé, ce moyen doit être rejeté. 4. 4.1 L’appelant conteste, dans un dernier moyen, la qualification juridique de l’escroquerie. Il soutient plus particulièrement que l’élément de l’astuce ne serait pas réalisé car E.________ n’aurait pas respecté toutes les mesures de prudence élémentaires, qu’il aurait lui-même scrupuleusement respectées. Il soutient ensuite que de toute manière il n’était pas au courant des agissements de C.________ qui l’auraient davantage lésé qu’il n’en aurait profité et conclut en indiquant qu’il n’aurait eu aucun intérêt à participer à de telles fraudes. 4.2 Selon l'art. 146 CP,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en particulier que l'auteur ait usé de tromperie et que celle-ci ait été astucieuse (Corboz, Les infractions en droit suisse, Vol. I, Berne 2002, n. 16 ad art. 146 CP). L'astuce est réalisée lorsque l'auteur recourt à des manœuvres frauduleuses, à une mise en scène comportant des documents ou des actes ou à un édifice de mensonges qui se recoupent de façon si raffinée que même une victime critique se laisserait tromper (ATF 126 IV 165 c. 2a, JT 2001 IV 77; ATF 122 IV 197 c. 3d, JT 1997 IV 145; Corboz, op. cit., n. 18 ad art. 146 CP). Sont considérées comme des machinations particulières les inventions et les mesures telles que l'utilisation d'événements qui, à eux seuls ou appuyés par des mensonges et des manœuvres frauduleuses, sont propres à tromper la victime ou à la conforter dans son erreur (ATF 122 IV 197, précité). On ajoutera que l'affirmation fallacieuse peut résulter de n'importe quel acte concluant. Il n'est ainsi pas nécessaire que l'auteur fasse une déclaration. Il suffit qu'il adopte un comportement dont on déduit l'affirmation d'un fait (ATF 127 IV 163; Corboz, op. cit., n. 5 ad art. 146 CP). L'astuce n'est toutefois pas réalisée si la dupe pouvait se protéger avec un minimum d'attention ou éviter l'erreur avec le minimum de prudence que l'on pouvait attendre d'elle (ATF 126 IV 165, précité; Corboz, op. cit., n. 17 ad art. 146 CP et les références citées). Il n'est pas nécessaire, pour qu'il y ait escroquerie, que la dupe ait fait preuve de la plus grande diligence et qu'elle ait recouru à toutes les mesures de prudence possibles : la question n'est donc pas de savoir si elle a fait tout ce qu'elle pouvait pour éviter d'être trompée (ATF 128 IV 18 c. 3a; ATF 126 IV 165, précité). Pour qu'il y ait astuce, il n'est ainsi pas exigé que la dupe soit exempte de la moindre faute ; l'astuce est exclue uniquement si la dupe n'a pas observé les mesures de précaution élémentaires (ATF 126 IV 165, précité; Corboz, op. cit., n. 17 ad art. 146 CP). Cet aspect de la responsabilité de la dupe doit, selon la jurisprudence récente, aussi être pris en compte en cas de manœuvres frauduleuses de la part de l'auteur (ATF 122 IV 197, précité). Il n'y a en effet pas de motif pour admettre l'astuce lorsque, par exemple, l'auteur utilise un faux grossier, aisément reconnaissable comme tel par la dupe (Cassani, Der Begriff der arglistigen Täuschung als kriminalpolitische Herausforderung, RPS 117/1999, p. 152 ss, spéc. p. 162). On ajoutera que pour apprécier si l'auteur a usé d'astuce et si la dupe a omis de prendre les mesures de prudence élémentaires, il ne suffit pas de se demander comment une personne raisonnable et expérimentée aurait réagi à la tromperie; il faut, au contraire, prendre en considération la situation particulière de la dupe, telle que l'auteur la connaît et l'exploite. Ce principe dit de coresponsabilité ne saurait être utilisé pour nier trop aisément le caractère astucieux de la tromperie (ATF 128 IV 18, précité). Ainsi, le Tribunal fédéral a précisé qu'il y avait astuce si, en fonction des circonstances, une vérification ne pouvait pas être exigée de la dupe et que l'auteur exploitait cette situation (ATF 126 IV 165, précité; Corboz, op. cit., n. 19 et 20 ad art. 146 CP). Il a considéré qu'il y avait tromperie astucieuse dans le cas où l'auteur avait conclu un contrat en ayant d'emblée l'intention de ne pas fournir sa prestation, alors que son intention n'était pas décelable (ATF 118 IV 359 c. 2, JT 1994 IV 172). Il y a également astuce si l'auteur exploite un rapport de confiance préexistant qui dissuade la dupe de vérifier (ATF 126 IV 165, précité; Corboz, op. cit., n. 21 ad art. 146 CP). Sur le plan subjectif, l'escroquerie est une infraction intentionnelle, l'intention devant porter sur tous les éléments constitutifs. L'auteur doit en outre avoir agi dans le dessein de se procurer ou de procurer à un tiers un enrichissement illégitime (ATF 119 IV 210 c. 4b, JT 1995 IV 139; Corboz, op. cit., n. 39 ss ad art. 146 CP). 4.3 En l’occurrence, l’implication de l’appelant a déjà été discutée sur la base des mises en cause de C.________ et de [...], ainsi que sur ses propres déclarations (cf. consid. 2 supra). L’intérêt prêté à F.________ pour la commission des infractions consiste dans la rémunération qu’il en retirait, puisque sa société était payée à la commission pour chaque contrat conclu (jugement attaqué, p. 10). L’appelant n’apporte aucun démenti à cette affirmation, et le fait qu’il ait par la suite remboursé une partie du préjudice subi E.________ n’y change rien. S’agissant de l’astuce, la tromperie a consisté à remettre à la plaignante E.________ des contrats passés sous la forme du formulaire pré-imprimé établi par cette dernière, au nom de particuliers ne répondant pas aux critères requis, pour obtenir les prestations réservées à des clients commerciaux, en fournissant des données erronées faisant croire que ces particuliers répondaient à ces critères. En effet, outre l’identité correcte des clients, attestée par une copie de leur carte d’identité, les prévenus mentionnaient le nom de raisons sociales fictives et joignaient généralement des cartes de visites commerciales confectionnées par eux. Cette tromperie est astucieuse dès lors que les prévenus savaient que les fausses informations qu’ils donnaient n’étaient pas vérifiables ou ne l’étaient que très difficilement, puisque les raisons sociales fictives fournies ne concernaient pas des entreprises inscrites au Registre du commerce. De plus et surtout, les prévenus ne pouvaient pas ignorer, en fonction des circonstances, que la dupe renoncerait à de plus amples vérification en raison du rapport de confiance particulier existant entre elle et la société V.________, avec laquelle elle avait passé un contrat de partenariat (P. 31/2). En effet, comme cela résulte de l’instruction (PV aud. 15 p. 2 ; PV aud. 23 p. 2), E.________ avait donné pour consigne à ses partenaires de procéder aux vérifications usuelles pour s’assurer que les abonnements « business » étaient contractés par des entreprises ou des indépendants commerciaux. Plusieurs contrôles étaient censés être faits. Le premier l’était par l’agent courtier qui avait démarché le client et qui devait s’assurer de son identité et lui demander au minimum une carte de visite commerciale. Le deuxième contrôle était effectué au service back-office de la société de courtage, en l’occurrence V.________, laquelle disposait d’un logiciel de gestion de données personnelles fourni par E.________ dans lequel les données de la personne ayant conclu le contrat étaient saisies. Le dernier contrôle avait lieu chez E.________ après réception et avant validation des contrats. Toutefois, ce dernier contrôle l’était sur la base des données saisies lors du deuxième contrôle et sur la base des pièces justificatives fournies. Ainsi, si la tromperie astucieuse était intervenue au premier ou au deuxième stade des contrôles, E.________ n’était plus en mesure d’éviter la tromperie. Dans ce contexte, force est de constater, à l’instar du premier juge, que les prévenus ont manifestement joué sur le rapport de confiance particulier entre la plaignante et son partenaire V.________, sachant que la vérification des données fictives fournies à la plaignante n’était pratiquement pas possible et ne serait, en fonction des circonstances susmentionnées, pas exigée. Les éléments qui précèdent démontrent que l’élément constitutif de l’astuce est clairement réalisé. Une fois encore, le raisonnement du Tribunal de première instance n’est pas critiquable et doit être confirmé. Mal fondé, le grief doit être rejeté.</w:t>
      </w:r>
    </w:p>
    <w:p>
      <w:r>
        <w:rPr>
          <w:b/>
        </w:rPr>
        <w:t>E. 5</w:t>
      </w:r>
    </w:p>
    <w:p>
      <w:r>
        <w:t>Les moyens de l’appelant ont tous été rejetés. La peine sera toutefois vérifiée d’office.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(TF 6B_85/2013 du 4 mars 2013 consid. 3.1 ; ATF 134 IV 17 consid. 2.1).</w:t>
      </w:r>
    </w:p>
    <w:p>
      <w:r>
        <w:rPr>
          <w:b/>
        </w:rPr>
        <w:t>E. 5.3</w:t>
      </w:r>
    </w:p>
    <w:p>
      <w:r>
        <w:t>En l’occurrence, la peine prononcée est adéquate et doit être confirmée, la Cour de céans faisant entièrement sienne la motivation complète et convaincante des premiers juges telle qu’exposée dans le jugement entrepris (art. 82 al. 4 CPP; jugement du 12 avril 2016, pp. 27 ss). Cette peine sera prononcée avec sursis, l’intéressé en remplissant les conditions objectives et subjectives.</w:t>
      </w:r>
    </w:p>
    <w:p>
      <w:r>
        <w:rPr>
          <w:b/>
        </w:rPr>
        <w:t>E. 6</w:t>
      </w:r>
    </w:p>
    <w:p>
      <w:r>
        <w:t>En définitive, mal fondé, l’appel doit être rejeté et le jugement entrepris intégralement confirmé. Vu l’issue de la cause, les frais d’appel, constitués de l’émolument d’arrêt, par 1’940 fr., (art. 21 al. 1 et 2 TFIP [tarif des frais de procédure et indemnités en matière pénale du 28 septembre 2010 ; RSV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