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179 vom 30. November 2016</w:t>
      </w:r>
    </w:p>
    <w:p>
      <w:r>
        <w:t>VD Tribunal cantonal, 2016-11-30, FR</w:t>
      </w:r>
    </w:p>
    <w:p>
      <w:r>
        <w:rPr>
          <w:b/>
        </w:rPr>
        <w:t xml:space="preserve">Quelle: </w:t>
      </w:r>
      <w:r>
        <w:t>https://mcp.opencaselaw.ch/entscheid/vd_findinfo_Jug___2017___179</w:t>
      </w:r>
    </w:p>
    <w:p>
      <w:r>
        <w:t>FR: VD_FINDINFO Jug / 2017 / 179 du 30 novembre 2016</w:t>
      </w:r>
    </w:p>
    <w:p>
      <w:r>
        <w:t>IT: VD_FINDINFO Jug / 2017 / 179 del 30 novembre 2016</w:t>
      </w:r>
    </w:p>
    <w:p>
      <w:pPr>
        <w:pStyle w:val="Heading2"/>
      </w:pPr>
      <w:r>
        <w:t>Regeste</w:t>
      </w:r>
    </w:p>
    <w:p>
      <w:r>
        <w:t>ALCOOLÉMIE, RESPONSABILITÉ{DROIT PÉNAL}, FIXATION DE LA PEINE, SURSIS À L'EXÉCUTION DE LA PEINE | 19 al. 2 CP, 19 al. 4 CP, 42 CP, 47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L’appelante considère qu’elle aurait dû bénéficier d’une diminution de responsabilité, dès lors qu’elle présentait un taux d’alcool parfois supérieur à 2 g ‰.</w:t>
      </w:r>
    </w:p>
    <w:p>
      <w:r>
        <w:rPr>
          <w:b/>
        </w:rPr>
        <w:t>E. 3.1</w:t>
      </w:r>
    </w:p>
    <w:p>
      <w:r>
        <w:t>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 actio libera in causa ).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 ATF 119 IV 120 consid. 2b, JdT 1994 I 779). Il ne s'agit là toutefois que de présomptions qui peuvent être renversées dans un cas donné en raison d'indices contraires. L'état psychopathologique est décisif. Il faut examiner le comportement de l'auteur avant, pendant et après la commission de l'acte (TF 6B_960/2009 du 30 mars 2010 consid. 1.2 et les références citées ; Favre/Pellet/Stoudmann, Code pénal annoté, 3 e éd., Lausanne 2007, n. 2.4 ad art. 19 CP).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(TF 6B_146/2016 du 22 août 2016 consid. 3). En cas d' actio libera in causa , même par négligence, il ne sera pas tenu compte de l'altération de responsabilité.</w:t>
      </w:r>
    </w:p>
    <w:p>
      <w:r>
        <w:rPr>
          <w:b/>
        </w:rPr>
        <w:t>E. 3.2</w:t>
      </w:r>
    </w:p>
    <w:p>
      <w:r>
        <w:t>En l’espèce, dans les cas où son alcoolémie était supérieure à 2 g ‰ ou n’a pas pu être contrôlée, l’appelante ne prétend pas ne se souvenir de rien, ni que son comportement a été inhabituel, aberrant ou incompréhensible. Au contraire, elle soutient qu’elle « tient bien l’alcool », venant d’un pays où la consommation de rhum est courante (jugt., p. 20), et que ses problèmes ne proviennent pas d’elle mais de ses voisins ou d’un acharnement policier. Quoi qu’il en soit, il est impossible de croire que l’appelante n’ait pas pu se rendre compte que lorsqu’elle était alcoolisée, elle adoptait un comportement asocial. Les condamnations les plus récentes sont toutes liées à une problématique d’alcool. Il en va de même des multiples récidives en cours d’enquête. Dans ces circonstances, il ne fait aucun doute qu’en buvant de l'alcool de manière excessive, la prévenue savait qu’elle pouvait avoir des comportements inadéquats de ce type. Il ne se justifie dès lors pas de tenir compte d'une responsabilité restreinte, que l’on considère, au vu de ses déclarations, que l’appelante ne présentait pas une alcoolisation la rendant incapable de discernement ou que l’on adopte la théorie de l’ actio libera in causa (art. 19 al. 4 CP).</w:t>
      </w:r>
    </w:p>
    <w:p>
      <w:r>
        <w:rPr>
          <w:b/>
        </w:rPr>
        <w:t>E. 4</w:t>
      </w:r>
    </w:p>
    <w:p>
      <w:r>
        <w:t>L’appelante conteste la quotité de la peine privative de liberté prononcée, qu’elle estime excessivement sévère.</w:t>
      </w:r>
    </w:p>
    <w:p>
      <w:r>
        <w:rPr>
          <w:b/>
        </w:rPr>
        <w:t>E. 4.1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w:t>
      </w:r>
    </w:p>
    <w:p>
      <w:r>
        <w:t>La culpabilité d’E.________ est conséquente. A charge, il sera tenu compte du lourd concours d’infractions, d’une absence totale de prise de conscience, rejetant systématiquement la faute sur les autres, de la sous-estimation de sa problématique alcoolique, quand bien même, d’un point de vue psychiatrique, elle ne présente pas d’addiction, de la réitération en cours d’enquête ainsi que du fait qu’elle ne bénéficie d’aucune circonstance atténuante légale. A décharge, on retiendra l’absence de toute nouvelle infraction depuis le 27 novembre 2015. On relèvera encore le fait que l’appelante s’est pleinement investie dans le travail d’intérêt général qui lui avait été infligé. A l’instar des premiers juges, la sincérité des excuses présentées par l’appelante seront relativisées. Au vu de l'ensemble de ces éléments, la peine privative de liberté de 30 mois prononcée par les premiers juges, adéquate, doit être confirmée. Il en va de même de la peine pécuniaire de 10 jours-amende à 30 fr. le jour et de l’amende de 300 fr., non contestées.</w:t>
      </w:r>
    </w:p>
    <w:p>
      <w:r>
        <w:rPr>
          <w:b/>
        </w:rPr>
        <w:t>E. 5</w:t>
      </w:r>
    </w:p>
    <w:p>
      <w:r>
        <w:t>ans.</w:t>
      </w:r>
    </w:p>
    <w:p>
      <w:r>
        <w:rPr>
          <w:b/>
        </w:rPr>
        <w:t>E. 5.1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L'art. 43 al. 1 CP prévoit que le juge peut suspendre partiellement l'exécution d'une peine pécuniaire, d'un travail d'intérêt général ou d'une peine privative de liberté d'un an au moins et de trois ans au plus afin de tenir compte de façon approprié de la faute de l'auteur.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5.2</w:t>
      </w:r>
    </w:p>
    <w:p>
      <w:r>
        <w:t>En l’espèce, comme l’ont retenu les premiers juges, au regard de la récidive pour le même type d’infractions, de la réitération en cours d’enquête et de l’absence totale de prise de conscience, il est exact de dire que le pronostic quant au comportement futur d’E.________ est mitigé et que seul un sursis partiel peut lui être accordé. Même si le quantum de peine avait été compatible avec un sursis complet, un pronostic entièrement favorable ne se justifiait pas. Il est vrai que l’appelante n’a pas récidivé depuis le 27 novembre 2015. On ne connait toutefois rien de sa situation depuis qu’elle est en République dominicaine, soit depuis le mois de décembre 2016, l’appelante ne s’étant pas présentée à l’audience d’appel. Partant, il y a lieu de confirmer le sursis partiel prononcé par le Tribunal correctionnel, portant sur 10 mois fermes et 20 mois avec sursis, ainsi que le délai d’épreuve fixé à</w:t>
      </w:r>
    </w:p>
    <w:p>
      <w:r>
        <w:rPr>
          <w:b/>
        </w:rPr>
        <w:t>E. 6</w:t>
      </w:r>
    </w:p>
    <w:p>
      <w:r>
        <w:t>En définitive, l'appel d’E.________ doit être rejeté et le jugement rendu le 30 novembre 2016 par le Tribunal correctionnel de l’arrondissement de Lausanne intégralement confirmé. Vu l'issue de la cause, les frais d'appel, constitués du seul émolument d'arrêt, par 1'940 fr. (art. 21 al. 1 et 2 TFIP [Tarif des frais de procédure et indemnités en matière pénale du 28 septembre 2010; RSV 312.03.1]), doivent être mis à la charge d’E.________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