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169 vom 27. Juni 2008</w:t>
      </w:r>
    </w:p>
    <w:p>
      <w:r>
        <w:t>VD Tribunal cantonal, 2008-06-27, FR</w:t>
      </w:r>
    </w:p>
    <w:p>
      <w:r>
        <w:rPr>
          <w:b/>
        </w:rPr>
        <w:t xml:space="preserve">Quelle: </w:t>
      </w:r>
      <w:r>
        <w:t>https://mcp.opencaselaw.ch/entscheid/vd_findinfo_Jug___2017___169</w:t>
      </w:r>
    </w:p>
    <w:p>
      <w:r>
        <w:t>FR: VD_FINDINFO Jug / 2017 / 169 du 27 juin 2008</w:t>
      </w:r>
    </w:p>
    <w:p>
      <w:r>
        <w:t>IT: VD_FINDINFO Jug / 2017 / 169 del 27 giugno 2008</w:t>
      </w:r>
    </w:p>
    <w:p>
      <w:pPr>
        <w:pStyle w:val="Heading2"/>
      </w:pPr>
      <w:r>
        <w:t>Regeste</w:t>
      </w:r>
    </w:p>
    <w:p>
      <w:r>
        <w:t>DEMANDE ADRESSÉE À L'AUTORITÉ, RÉVISION{DÉCISION}, RÉCUSATION, TÉMOIN, REJET DE LA DEMANDE | 410 CPP (CH), 411 CPP (CH), 451 CPP (CH)</w:t>
      </w:r>
    </w:p>
    <w:p>
      <w:pPr>
        <w:pStyle w:val="Heading2"/>
      </w:pPr>
      <w:r>
        <w:t>Erwägungen</w:t>
      </w:r>
    </w:p>
    <w:p>
      <w:r>
        <w:rPr>
          <w:b/>
        </w:rPr>
        <w:t>E. 1.1</w:t>
      </w:r>
    </w:p>
    <w:p>
      <w:r>
        <w:t>La demande du condamné se base sur le livre de [...] « L'affaire [...], un assassin imaginaire » paru l'année dernière aux Editions Mon Village. Ce journaliste a recueilli le témoignage de B.I.________, fils de la boulangère A.I.________ qui avait affirmé avoir servi B.D.________ et C.D.________ le 24 décembre 2005 en fin d'après-midi, soit après l'heure supposée de leur mort. Dans sa requête, A.D.________ expose que B.I.________ aurait déclaré que sa mère « n’était nullement affectée d’une confusion temporelle pour rapporter en mars 2010 ses activités du 24 décembre 2005, en particulier pour affirmer le repas du réveillon de Noël le soir du 24 décembre 2005 peu après avoir rencontré les deux dames [...] à la boulangerie » (requête, p. 19). Il ajoute que B.I.________ « a voulu rétablir la vérité en mettant par écrit son témoignage ». Le requérant a également produit un témoignage écrit dans lequel B.I.________ déclare : « je confirme ce que j’ai bien dit à M. [...], que j’ai bien fêté Noël 2005 le soir du 24 décembre 2005 en présence de ma femme ( [...]) et de mon frère de cœur ( [...]) et de ma défunte Maman [...]» (P. 1049, P. 1 du bordereau). Le requérant considère que ce témoignag e devrait remettre en cause l’appréciation du Tribunal criminel de l’arrondissement de Lausanne selon laquelle les déclarations de A.I.________ devaient être écartées et sollicite les mesures d’instruction suivantes : - l’audition de B.I.________, de sa femme et de son frère, afin qu’ils confirment que A.I.________ « ne souffrait d’aucun trouble de mémoire pour évoquer ces activités faites en 2005, notamment l’après-midi du 24 décembre 2005 d’une part, et d’autre part, elle a bien fêté le réveillon de Noël le 24 décembre, et non le 23 décembre 2005 » ; - l’audition du Procureur général « pour savoir en matière de droit pénale sur les nouveaux moyens de preuve légaux quelles substances lui a permis d’obtenir des flashs sur la culpabilité du requérant , puisqu’il se présente comme le témoin des faits tirés de ses flashs. Une révélation qu’il a fait à son ami [...] et rapporté dans son ouvrage ».</w:t>
      </w:r>
    </w:p>
    <w:p>
      <w:r>
        <w:rPr>
          <w:b/>
        </w:rPr>
        <w:t>E. 1.2</w:t>
      </w:r>
    </w:p>
    <w:p>
      <w:r>
        <w:t>Aux termes de l'art. 453 al. 1 CPP (Code de procédure pénale suisse du 5 octobre 2007; RS 312.0), les recours formés contre les décisions rendues avant l'entrée en vigueur du présent code sont traités selon l'ancien droit par les autorités compétentes sous l'empire de ce droit. Cette disposition vise également la révision, que le code classe parmi les voies de recours.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 1.1; Schmid, Schweizerische Strafprozessordnung, Praxiskommentar, 2009, n. 2 in fine ad art. 453 CPP; également Lieber, in : Donatsch/Hansjakob/Lieber [éd.], Kommentar zur Schweizerischen Strafprozessordnung, 2010, n. 5 ad art. 453 CPP). Cette réserve est toutefois sans portée en l’espèce, dès lors que, s’agissant d’une révision en faveur du condamné, le motif de révision prévu à l’art. 410 al. 1 let. a CPP correspond à celui de l’art. 385 CP (Code pénal; RS 311.0), qui n’a d’ailleurs formellement pas été abrogé (cf. Fingerhuth, in : Donatsch/ Hansjakob/Lieber [éd.], op. cit., n. 1 ad art. 410 CPP; Heer, in : Basler Kommentar, Schweizerische Strafprozessordnung, Bâle 2011, n. 7 ad art. 410 CPP).</w:t>
      </w:r>
    </w:p>
    <w:p>
      <w:r>
        <w:rPr>
          <w:b/>
        </w:rPr>
        <w:t>E. 1.3</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1.4</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 Genève/Zurich/Bâle 2011, n. 2092, p. 679; Heer, in : Niggli/Heer/Wiprächtiger [éd.], Basler Kommentar, Schweizerische Strafprozessord­nung, Jungenstrafprozessordnung, 2 e éd., Bâle 2014, n. 6 ad art. 411 CPP). Cela signifie que le requérant doit indiquer les points de la décision qu’il attaque, les motifs qui commandent une autre décision et les moyens de preuves qu’il allègue (art. 385 CPP, applicable à la demande de révision ; cf. sur ce point Calame, in : Kuhn/Jeanneret [éd.], Commentaire romand, Code de procédure pénale suisse, Bâle 2011, n. 1 ss ad art. 385 CPP). Autrement dit, sous peine d’irrecevabilité, la demande de révision doit ainsi contenir des conclusions, indiquer l’un des motifs de révision prévus à l’art. 410 CPP, ainsi que les faits et les moyens de preuve sur lesquels elle se fonde (Moreillon/Parein-Reymond, Petit commentaire, Code de procédure pénale, Bâle 2013, n. 3 ad art. 412 CPP).</w:t>
      </w:r>
    </w:p>
    <w:p>
      <w:r>
        <w:rPr>
          <w:b/>
        </w:rPr>
        <w:t>E. 1.5</w:t>
      </w:r>
    </w:p>
    <w:p>
      <w:r>
        <w:t>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(TF 6B_310/2011 consid. 1.6; TF 6B_415/2012 consid. 1.1; CAPE, 5 mars 2014/76). Doit en particulier être considérée comme d’emblée mal fondée une demande invoquant un élément nouveau qui n’est pas un fait ou un moyen de preuve de nature à motiver l’acquittement ou une condamnation sensiblement moins sévère au sens de l’art. 410 CPP, c’est-à-dire propre à ébranler les constatations de fait sur lesquelles la condamnation est fondée (ATF 130 IV 72 consid. 1; ATF 116 IV 353).</w:t>
      </w:r>
    </w:p>
    <w:p>
      <w:r>
        <w:rPr>
          <w:b/>
        </w:rPr>
        <w:t>E. 1.6</w:t>
      </w:r>
    </w:p>
    <w:p>
      <w:r>
        <w:t>En l’occurrence, l’élément nouveau invoqué – la déclaration de B.I.________ – a trait à l’appréciation d’un témoignage par le Tribunal criminel, à savoir celui de A.I.________, laquelle aurait vu les deux victimes (B.D.________ et C.D.________) en vie à un moment où le jugement retient qu’elles avaient déjà été tuées. Les déclarations de A.I.________ n’ont pas été retenues comme probantes par le Tribunal criminel, pour différents motifs. A ce propos, personne n’a jamais dit que A.I.________ avait des troubles de la mémoire, mais simplement qu’elle pouvait, comme tout le monde, se tromper parfois. Le procès-verbal de son audition par le Tribunal criminel de l’arrondissement de Lausanne, produit avec la requête, permet de constater que tel est bien le cas (jugement du Tribunal criminel de l’arrondissement de Lausanne du 18 mars 2010, p. 11 ss et 54 ss). Ensuite, malgré ce que soutient le requérant, le témoignage dans le livre de [...] et dans une déclaration écrite produite par le requérant du fils de A.I.________, soit B.I.________, n’apporte pas de grands éclaircissements. Il se contente en effet de confirmer qu’il a passé la soirée du 24 décembre 2005 avec sa mère. Le Tribunal criminel n’a pas affirmé que ce réveillon avait eu lieu le 23 décembre 2005 ; il a retenu que, compte tenu des preuves au dossier, il n’était pas possible que dame [...] ait vu B.D.________ et C.D.________ le 24 décembre 2005 à 17h00. Le reste n’est que supposition. Lorsqu’il retient que la boulangère a confondu le 23 et le 24, c’est une simple possibilité expliquée par le fait que « les repères sur lesquels se fondent le témoin peuvent s’appliquer autant au 23 qu’au 24 décembre » (jugement du Tribunal criminel de l’arrondissement de Lausanne du 18 mars 2010, p. 53 ss). L’erreur peut être limitée à la datation de la rencontre avec les dames [...] et au fait qu’elle aurait eu lieu le même jour que le réveillon de Noël. A.I.________ a pu rencontrer les dames [...] le 24 décembre 2005 à 13h00 ou le 23 décembre 2005 à 17h00 et ensuite fêter Noël avec son fils le 24 décembre 2005, et même mentionner une rencontre avec les dames [...]. Ainsi, cette déclaration de B.I.________ à [...] n’est pas un fait de nature à motiver l’acquittement. Si celui-là avait été entendu par le Tribunal criminel de Lausanne, ce dernier serait parvenu à la même conclusion. En d’autres termes, même si on en apprenait davantage sur la personnalité de A.I.________, ou sur ses capacités mnésiques, on ne voit pas en quoi l’appréciation de ce témoignage faite par les juges ayant condamné le requérant serait différente, en fonction de tous les autres éléments du dossier. Au demeurant, on pourrait se demander dans quelle mesure le fait nouveau allégué par A.D.________ était véritablement inconnu dans la mesure où le prénommé se plaint que le Tribunal criminel n’a pas voulu entendre les proches de A.I.________. Vu ce qui précède, il n’est pas nécessaire d’ordonner l’audition de B.I.________ ni celle de ses proches pour qu’ils confirment que A.I.________ n’avait pas de troubles de la mémoire et avait bien passé la soirée du 24 décembre avec son fils. Il n’est pas davantage utile de procéder à l’audition du Procureur général puisque le prévenu a été condamné sur la base d’un faisceau d’indices, parmi lesquels ne figuraient pas l’opinion ou des soi-disant « flashes » du représentant du Ministère public. Les réquisitions de A.D.________ en ce sens seront en conséquence rejetées.</w:t>
      </w:r>
    </w:p>
    <w:p>
      <w:r>
        <w:rPr>
          <w:b/>
        </w:rPr>
        <w:t>E. 2</w:t>
      </w:r>
    </w:p>
    <w:p>
      <w:r>
        <w:t>Enfin, dans son volumineux mémoire, A.D.________ discute à nouveau des éléments de preuves connus des précédents juges, pour remettre en cause l’appréciation du témoignage de A.I.________. Il se plaint en outre de ne pas avoir eu de procès équitable. Ce faisant, le requérant ne se prévaut d'aucun fait, ni d'aucun moyen de preuve nouveau et sérieux, inconnu de l'autorité inférieure, au sens de l'art. 410 al. 1 let. a CPP. Ces éléments ont été ou pouvaient être invoqués à l’appui d’un recours et ne constituent pas des motifs de révision.</w:t>
      </w:r>
    </w:p>
    <w:p>
      <w:r>
        <w:rPr>
          <w:b/>
        </w:rPr>
        <w:t>E. 3</w:t>
      </w:r>
    </w:p>
    <w:p>
      <w:r>
        <w:t>Au vu de ce qui précède, la requête de récusation doit être rejetée et la demande de révision présentée par A.D.________ doit être déclarée irrecevable, sans autre échange d'écritures (art. 412 al. 2 CPP). Vu l’issue de la cause, les frais, par 1’210 fr. (art. 21 TFIP [Tarif des frais de procédure et indemnités en matière pénale du 28 septembre 2010 ; RSV 312.03.1], par renvoi de l'art. 22 de cette loi), seront mis à la charge de A.D.________.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