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168 vom 8. Mai 2015</w:t>
      </w:r>
    </w:p>
    <w:p>
      <w:r>
        <w:t>VD Tribunal cantonal, 2015-05-08, FR</w:t>
      </w:r>
    </w:p>
    <w:p>
      <w:r>
        <w:rPr>
          <w:b/>
        </w:rPr>
        <w:t xml:space="preserve">Quelle: </w:t>
      </w:r>
      <w:r>
        <w:t>https://mcp.opencaselaw.ch/entscheid/vd_findinfo_Jug___2017___168</w:t>
      </w:r>
    </w:p>
    <w:p>
      <w:r>
        <w:t>FR: VD_FINDINFO Jug / 2017 / 168 du 8 mai 2015</w:t>
      </w:r>
    </w:p>
    <w:p>
      <w:r>
        <w:t>IT: VD_FINDINFO Jug / 2017 / 168 del 8 maggio 2015</w:t>
      </w:r>
    </w:p>
    <w:p>
      <w:pPr>
        <w:pStyle w:val="Heading2"/>
      </w:pPr>
      <w:r>
        <w:t>Regeste</w:t>
      </w:r>
    </w:p>
    <w:p>
      <w:r>
        <w:t>GESTION FAUTIVE, FIXATION DE LA PEINE, SURSIS PARTIEL À L'EXÉCUTION DE LA PEINE, DIRECTIVE{INJONCTION} | 165 ch. 1 CP, 44 al. 2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Dans son arrêt du 14 décembre 2016, le Tribunal fédéral a admis le recours d’U.________ sur plusieurs points : - il a annulé la condamnation d’U.________ pour gestion fautive, la réalisation de tous les éléments constitutifs de l’infraction n’ayant pas été établie, en particulier l’existence d’un surendettement. Le montant et la date de survenance du surendettement devaient, le cas échéant, être indiqués (consid. 7 et 8) ; - il a annulé la règle de conduite à laquelle le sursis partiel à l’exécution de la peine privative de liberté portant sur 10 mois était subordonnée en raison de son imprécision, la Cour d’appel pénale devant, si elle décidait de maintenir une règle de conduite imposant la réparation du dommage des lésés, arrêter le montant de la réparation due à chacun des lésés et déterminer le montant et l’échéance des acomptes compte tenu de la situation économique et personnelle du condamné (consid. 8.1 et 8.2) ; - il a constaté que la Cour d’appel pénale n’avait pas tiré les conclusions qui s’imposaient, ensuite du constat de l’absence de préjudice direct subi par M.________SA, en donnant acte à l’intimée de ses réserves civiles. Faute d’être lésée directement par l’infraction d’abus de confiance, M.________SA ne pouvait pas avoir la qualité de partie plaignante au sens de l’art. 118 CPP et faire valoir des conclusions civiles par adhésion à la procédure pénale. Les conclusions civiles étaient ainsi irrecevables (consid. 9) ; - compte tenu de l’admission du recours quant à la condamnation d’U.________ pour gestion fautive et de ce que M.________SA n’a pas la qualité de partie plaignante concernant l’abus de confiance retenue, ce qui excluait qu’elle ait pu obtenir gain de cause en lien avec cette infraction, il appartenait à la Cour d’appel pénale de statuer à nouveau sur les frais et dépens (consid. 10).</w:t>
      </w:r>
    </w:p>
    <w:p>
      <w:r>
        <w:rPr>
          <w:b/>
        </w:rPr>
        <w:t>E. 3</w:t>
      </w:r>
    </w:p>
    <w:p>
      <w:r>
        <w:t>Il convient en premier lieu de réexaminer l’infraction de gestion fautive. L’appelant conteste tout surendettement, Z.________SA étant selon lui viable au moment de son départ de la société.</w:t>
      </w:r>
    </w:p>
    <w:p>
      <w:r>
        <w:rPr>
          <w:b/>
        </w:rPr>
        <w:t>E. 3.1</w:t>
      </w:r>
    </w:p>
    <w:p>
      <w:r>
        <w:t>En vertu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29 let. a CP permet d’imputer à une personne physique un devoir particulier incombant à la personne morale, dans la mesure où cette personne physique a agi en qualité d’organe de la personne morale. La gestion fautive doit avoir pour conséquence le surendettement du débiteur ou son insolvabilité. La notion de surendettement, qui s'applique au débiteur soumis à la poursuite par la voie de la faillite - comme c'est le cas de Z.________SA -, découle de l'art. 725 al. 2 CO et signifie que, sur le plan comptable, les dettes ne sont plus couvertes ni sur la base d'un bilan d'exploitation, ni sur la base d'un bilan de liquidation, autrement dit que les passifs excèdent les actifs (TF 6B_135/2014 du 30 octobre 2014 consid. 3.1 ; Corboz, Les infractions en droit suisse, 3 e éd., 2010, n. 31 ad art. 165 CP). L'existence d'une situation d'insolvabilité ou d'un surendettement est une condition objective de punissabilité de l'infraction de gestion fautive (TF 6B_135/2014 précité consid. 3.3). L’insolvabilité se définit comme l’impossibilité de payer des dettes exigibles de manière durable (Dupuis et alii, Petit commentaire du Code pénal, Bâle 2012, n. 24 ad art. 165 CP). Il suffit que l’acte de gestion ait joué un rôle causal en contribuant à l’apparition du surendettement ou à son aggravation et qu’il ait été propre, d’après le cours ordinaire des choses et l’expérience de la vie, à entraîner un tel résultat (ATF 115 IV 38 consid. 2 ; TF 6B_135/2014 précité).</w:t>
      </w:r>
    </w:p>
    <w:p>
      <w:r>
        <w:rPr>
          <w:b/>
        </w:rPr>
        <w:t>E. 3.2</w:t>
      </w:r>
    </w:p>
    <w:p>
      <w:r>
        <w:t>En l’espèce, dans son arrêt du 16 novembre 2015, la Cour de céans a constaté que la faillite avait fait apparaître à l’état de collocation un montant de 1'725'457 fr. de créances admises, a relevé les fautes de gestion commises par l’appelant, à savoir le coût salarial exagéré du personnel, les défaillances comptables, ainsi que la gestion calamiteuse des stocks de viande, et a considéré que, bien avant sa fuite au Brésil, l’appelant avait prolongé artificiellement l'existence de la société Z.________SA en recourant systématiquement à des emprunts multiples pour injecter des liquidités (consid. 7.2 et 7.3). A cela s’ajoute que les fautes de gestion précitées ont été commises du 15 avril 2010, date de l’inscription d’U.________ au registre du commerce comme administrateur de Z.________SA (P. 83), au 2 août 2011, date de la démission immédiate de celui-ci (P. 109) et de sa fuite au Brésil. La faillite de la société a été prononcée un mois plus tard, soit le 1 er septembre 2011. La difficulté à mesurer et à dater le surendettement et l’apport causal des fautes de gestion à ce dépassement des actifs par les passifs tient à l’infraction de faux dans les titres en matière comptable commise par l’appelant, infraction confirmée par le Tribunal fédéral. Pour tenter d’établir la comptabilité, une expertise a été confiée à la fiduciaire Y.________SA qui a déposé un rapport le 17 mai 2013 (P. 139), ainsi qu’un rapport complémentaire le 28 janvier 2014 (P. 181). En annexe à ces rapports figurent le bilan au 31 décembre 2010 selon les comptes effectués par la société Z.________SA et selon les comptes reconstitués par les experts ainsi que le bilan au 30 septembre 2011 sous la forme d’une reconstitution. Selon les comptes reconstitués par l’expert, seuls fiables ou sérieux au vu de la tenue lacunaire des comptes 2010 par l’appelant et de leur inexactitude, l’exercice 2010 s’est soldé par une perte de 55'369 fr. 08 (P. 181/1) et l’exercice 2011 par une perte de 149'100 fr. 26 (après imputation du capital-actions de 100'000 fr.). Ainsi, il apparaît que les conditions de l’art. 725 al. 2 CO étaient déjà réalisées à la fin de l’année 2010 et que les fautes de gestion énoncées aux considérants 2.4, 7.2 et 7.3 de l’arrêt de la Cour d’appel pénale du 16 novembre 2015 ont indubitablement contribué causalement à ce surendettement, lequel s’est encore accru durant les sept mois suivant (janvier à juillet 2011). Il ressort en outre de l’extrait de l’Office des poursuites du district de l’Ouest lausannois que le montant total des poursuites de Z.________SA s’élevait le 11 août 2011 à 415'597 fr. (P. 4/7). Par ailleurs, ces fautes de gestion constituaient, selon le cours ordinaire des choses et l’expérience générale de la vie, des facteurs de nature à entraîner le surendettement d’une société qui connaissait déjà des difficultés, de sorte que la condition de la causalité adéquate est également réalisée. Partant, les éléments constitutifs de l’infraction de gestion fautive sont réalisés et la condamnation d’U.________ pour cette infraction doit être confirmée.</w:t>
      </w:r>
    </w:p>
    <w:p>
      <w:r>
        <w:rPr>
          <w:b/>
        </w:rPr>
        <w:t>E. 4</w:t>
      </w:r>
    </w:p>
    <w:p>
      <w:r>
        <w:t>La condamnation pour gestion fautive étant confirmée, il n’y pas lieu de rediscuter le genre et la quotité de la peine. La peine privative de liberté de 20 mois, sous déduction de 85 jours de détention avant jugement, doit être confirmée. S’agissant du sursis partiel, il sera précisé que l’appréciation faite par la Cour de céans dans son précédent arrêt reste inchangée malgré le fait que l’appelant n’exerce plus la même activité professionnelle qu’en novembre 2015. Après son licenciement intervenu en mai 2016, il a en effet débuté en août 2016 une activité de fiduciaire en tant qu’indépendant, consistant en du travail de comptable (établissement de déclarations fiscales en particulier) et du courtage immobilier. Compte tenu de la situation financière et familiale difficile de l’appelant, le sursis partiel portant sur la moitié de la peine privative de liberté infligée doit être confirmé.</w:t>
      </w:r>
    </w:p>
    <w:p>
      <w:r>
        <w:rPr>
          <w:b/>
        </w:rPr>
        <w:t>E. 5</w:t>
      </w:r>
    </w:p>
    <w:p>
      <w:r>
        <w:t>Il convient d’examiner s’il y a lieu d’assortir le sursis partiel prononcé d’une règle de conduite.</w:t>
      </w:r>
    </w:p>
    <w:p>
      <w:r>
        <w:rPr>
          <w:b/>
        </w:rPr>
        <w:t>E. 5.1</w:t>
      </w:r>
    </w:p>
    <w:p>
      <w:r>
        <w:t>Selon l'art. 44 al. 2 CP,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plus récemment : TF 6B_849/2014 du 14 décembre 2015 consid. 3.2). Lorsque le montant du dommage causé par le condamné peut être établi avec certitude, rien n'empêche le juge d'ordonner la règle de conduite tendant à la réparation du dommage, alors même qu'il n'a pas été appelé à juger la question des dommages-intérêts et que celle-ci n'a pas encore fait l'objet d'un jugement civil ou d'une transaction (ATF 105 IV 234 consid. 2c). L'autorité doit, en ce cas, non seulement arrêter le montant de la réparation due, mais encore déterminer le montant et l'échéance des acomptes (ATF 105 IV 203 consid. 2b ; Perrin, Commentaire romand, Code pénal I, n. 24 ad art. 94 CP et la référence citée ; Basler Kommentar, n. 16 ad art. 94 CP ; Dupuis et alii, op. cit., n. 5 ad art. 94 CP ; Trechsel/Pieth, Schweizerisches Strafgesetzbuch, 2 e éd., n. 7 ad art. 94 CP). Les acomptes doivent être fixés d'après la situation économique et personnelle du condamné (ATF 105 IV 203 consid. 2b ; 103 IV 134 consid. 3 ; TF 6B_1/2012 du 18 avril 2012 consid. 2.3.1).</w:t>
      </w:r>
    </w:p>
    <w:p>
      <w:r>
        <w:rPr>
          <w:b/>
        </w:rPr>
        <w:t>E. 5.2</w:t>
      </w:r>
    </w:p>
    <w:p>
      <w:r>
        <w:t>Dans son arrêt du 14 décembre 2016, le Tribunal fédéral a estimé que la règle de conduite litigieuse ne déterminait ni le montant de la réparation due, ni le montant et l'échéance des acomptes. Elle se référait à la part saisissable du revenu de l’appelant sans la fixer et ne prévoyait aucune règle de répartition entre les lésés, qui n’étaient pas nommément désignés. Une telle règle de conduite ne répondait ainsi pas aux exigences de précision rappelées ci-dessus, ce qui la rend non seulement difficile à observer pour le condamné, mais également problématique sous l'angle de la surveillance de son exécution par l'autorité compétente. Si la Cour de céans devait décider de maintenir une règle de conduite imposant la réparation du dommage des lésés, elle devrait alors arrêter le montant de la réparation due à chacun des lésés et déterminer le montant et l'échéance des acomptes compte tenu de la situation économique et personnelle du condamné (cf. consid. 8.2).</w:t>
      </w:r>
    </w:p>
    <w:p>
      <w:r>
        <w:rPr>
          <w:b/>
        </w:rPr>
        <w:t>E. 5.3</w:t>
      </w:r>
    </w:p>
    <w:p>
      <w:r>
        <w:t>En l’espèce, le chiffre IV du jugement attaqué, définitif, donne acte de leurs réserves civiles à la Caisse AVS D.________, à X.________ et à H.________. L’appelant a reconnu devoir à ce dernier le montant de 110'000 fr., à X.________ le montant de 300'000 fr. par reconnaissance de dette du 10 février 2010 (cf. P. 222/1) et a indiqué n’avoir aucun accord avec la Caisse AVS D.________ (PV aud. du 3 avril 2017, p. 3). De plus, l’héritage que l’appelant devrait percevoir ensuite du décès de son père en mai 2015, dont le montant est estimé par l’appelant entre 310'000 et 350'000 fr., devrait être saisi par l’Office des poursuites pour être dévolu aux créanciers poursuivants. Au vu de ce qui précède, il n’est pas possible de fixer, en l’état, le montant de la réparation pour chaque lésé et, le cas échéant, de déterminer l’échéance d’éventuels acomptes. Partant, la règle de conduite à laquelle le sursis partiel à l’exécution de la peine privative de liberté de 10 mois était subordonné doit être supprimée.</w:t>
      </w:r>
    </w:p>
    <w:p>
      <w:r>
        <w:rPr>
          <w:b/>
        </w:rPr>
        <w:t>E. 6</w:t>
      </w:r>
    </w:p>
    <w:p>
      <w:r>
        <w:t>Le Tribunal fédéral a retenu que M.________SA n’avait pas la qualité de partie plaignante et que, partant, les conclusions civiles qu’elle avait formulées étaient irrecevables. Il s’ensuit qu’il n’y a pas lieu d’allouer de dépens au sens de l’art. 433 CPP à M.________SA. Les chiffres IV et V du jugement attaqué doivent pas conséquent être supprimés. Il en va de même du montant de 2'275 fr. alloué à M.________SA dans l’arrêt de la Cour de céans du 16 novembre 2015 au titre de dépens.</w:t>
      </w:r>
    </w:p>
    <w:p>
      <w:r>
        <w:rPr>
          <w:b/>
        </w:rPr>
        <w:t>E. 7</w:t>
      </w:r>
    </w:p>
    <w:p>
      <w:r>
        <w:t>L’appelant conclut à la réduction par moitié des frais de première instance mis à sa charge. La condamnation pour gestion fautive étant confirmée, il n’y a pas lieu de modifier la répartition des frais établie par le Tribunal correctionnel. La Cour de céans se réfère ainsi aux considérants qu’elle a développés dans son arrêt du 16 novembre 2015 (consid. 11).</w:t>
      </w:r>
    </w:p>
    <w:p>
      <w:r>
        <w:rPr>
          <w:b/>
        </w:rPr>
        <w:t>E. 8</w:t>
      </w:r>
    </w:p>
    <w:p>
      <w:r>
        <w:t>. En définitive, l’appel d’U.________ doit être partiellement admis et le jugement attaqué réformé dans le sens des considérants. Une indemnité pour la procédure d'appel d'un montant de 4’635 fr. 35, TVA et débours inclus, sera allouée au défenseur d'office de l’appelant, étant précisé que celle-ci comprend le montant de 3'045 fr. 60, qui lui avait été alloué par arrêt du 16 novembre 2015 et qui a déjà été versé, ainsi qu’un montant additionnel de 1'589 fr. 75, débours et TVA compris, pour la seconde audience d’appel. Vu l'issue de la cause, les frais d'appel antérieurs et postérieurs à l’arrêt du Tribunal fédéral du 14 décembre 2016, constitués des émoluments de jugements, par 5’390 fr. (3’450 fr. + 1'940 fr.) (art. 21 al. 1 et 2 TFIP [Tarif des frais de procédure et indemnités en matière pénale du 28 septembre 2010 ; RSV 312.03.1]) et de l’indemnité allouée au défenseur d'office par 4'635 fr. 35 (art. 422 al. 1 et 2 let. a CPP), seront mis par moitié à la charge d’U.________, le solde étant laissé à la charge de l’Etat. L’appelant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