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162 vom 5. Mai 2017</w:t>
      </w:r>
    </w:p>
    <w:p>
      <w:r>
        <w:t>VD Tribunal cantonal, 2017-05-05, FR</w:t>
      </w:r>
    </w:p>
    <w:p>
      <w:r>
        <w:rPr>
          <w:b/>
        </w:rPr>
        <w:t xml:space="preserve">Quelle: </w:t>
      </w:r>
      <w:r>
        <w:t>https://mcp.opencaselaw.ch/entscheid/vd_findinfo_Jug___2017___162</w:t>
      </w:r>
    </w:p>
    <w:p>
      <w:r>
        <w:t>FR: VD_FINDINFO Jug / 2017 / 162 du 5 mai 2017</w:t>
      </w:r>
    </w:p>
    <w:p>
      <w:r>
        <w:t>IT: VD_FINDINFO Jug / 2017 / 162 del 5 maggio 2017</w:t>
      </w:r>
    </w:p>
    <w:p>
      <w:pPr>
        <w:pStyle w:val="Heading2"/>
      </w:pPr>
      <w:r>
        <w:t>Regeste</w:t>
      </w:r>
    </w:p>
    <w:p>
      <w:r>
        <w:t>RECONSIDÉRATION, DEMANDE ADRESSÉE À L'AUTORITÉ, RÉVISION{DÉCISION} | 53 al. 2 LPGA, 61 let. a LPGA, 100 LPA-VD</w:t>
      </w:r>
    </w:p>
    <w:p>
      <w:pPr>
        <w:pStyle w:val="Heading2"/>
      </w:pPr>
      <w:r>
        <w:t>Erwägungen</w:t>
      </w:r>
    </w:p>
    <w:p>
      <w:r>
        <w:rPr>
          <w:b/>
        </w:rPr>
        <w:t>E. 2</w:t>
      </w:r>
    </w:p>
    <w:p>
      <w:r>
        <w:t>a) L’art. 1 al. 1 LACI prévoit que les dispositions de la loi fédérale du 6 octobre 2000 sur la partie générale du droit des assurances sociales [LPGA ; RS 830.1] s’appliquent à l’assurance-chômage, à moins que la LACI ne déroge expressément à la LPGA. Quant à la procédure devant le tribunal cantonal des assurances, elle est, selon l’art. 61 al. 1 LPGA, réglée par le droit cantonal, soit dans le canton de Vaud par la loi vaudoise du 28 octobre 2008 sur la procédure administrative [LPA-VD ; RSV 173.36]. C’est dire que la loi sur la procédure administrative du 12 septembre 1985 du canton de Genève [LPA ; RSG E 5 10], - à laquelle le requérant semble se référer en citant les art. 48 al. 1 let. a et 80 let. a et b LPA -, ne s’applique pas en l’espèce. b) Ces précisions apportées, s’agissant de la reconsidération d’une décision, l’art. 53 al. 2 LPGA prévoit que l’assureur peut revenir sur les décisions ou les décisions sur opposition formellement passées en force lorsqu’elles sont manifestement erronées et que leur rectification revêt une importance notable. c)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383 consid. 3 ; TFA 98/04 du 12 août 2004 consid. 2). d)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réf. cit. ; 119 V 475 consid. 1b/cc et 117 V 8 consid. 2a ; TF 9C_517/2011 du 12 septembre 2011 ; cf. également Kieser, ATSG – Kommentar, Zurich/Bale/Genève 2009, ad art. 53 LPGA n° 44 p. 681).</w:t>
      </w:r>
    </w:p>
    <w:p>
      <w:r>
        <w:rPr>
          <w:b/>
        </w:rPr>
        <w:t>E. 3</w:t>
      </w:r>
    </w:p>
    <w:p>
      <w:r>
        <w:t>a) En l’espèce, comme mentionné sous le considérant 1 ci-dessus, on comprend des écritures du requérant que sa demande de reconsidération porte sur l’ensemble des décisions rendues par la Cour de céans, lesquelles confirment les décisions d’inaptitude au placement et de suspension rendues par la caisse cantonale de chômage et le Service de l’emploi. b) Cependant, aux termes de l’art. 53 al. 2 LPGA, seules les décisions ou les décisions sur opposition formellement passées en force peuvent faire l’objet d’une reconsidération. Les décisions rendues par les tribunaux ne peuvent pas être reconsidérées au sens de la disposition précitée ; seule la voie de la révision leur est ouverte (Kieser, op. cit., ad art. 53 al. 2 LPGA n° 45 p. 709). Par conséquent, les jugements entrepris ne peuvent faire l’objet d’une reconsidération. Au demeurant, ni la caisse cantonale de chômage, ni le Service de l’emploi, ne pourraient reconsidérer leurs décisions sur opposition, dès lors qu’elles ont fait l’objet d’un jugement sur le fond (cf. consid. 2b ci-dessus et ATF 127 V 469 consid. 2c ; TFA I 82/05 du 17 octobre 2005 consid. 3.1 ; TFA I 143/05 du 4 mai 2006 consid. 2.2.2). c) Ainsi, la demande de reconsidération est irrecevable.</w:t>
      </w:r>
    </w:p>
    <w:p>
      <w:r>
        <w:rPr>
          <w:b/>
        </w:rPr>
        <w:t>E. 4</w:t>
      </w:r>
    </w:p>
    <w:p>
      <w:r>
        <w:t>En ce qui concerne la demande de révision, il convient de rappeler ce qui suit. a) Sur le plan de la recevabilité, la procédure de révision d’un jugement cantonal est régie, dans le canton de Vaud, par les art. 100 ss LPA-VD. Dite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b) S’agissant des motifs de révision, c’est le lieu de préciser que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 nouveaux »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(cf. ATF 127 V 353 consid. 5b et les références ; cf. TF 8C_824/2014 du 29 décembre 2014 consid. 2). c) Par ailleurs,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En d’autres termes, la révision ne peut être demandée que pour des motifs strictement définis par la loi et le dépôt d’une demande de révision ne permet dès lors pas de remettre en cause librement l’arrêt dont la révision est demandée (cf. TF 6F_10/2008 du 2 septembre 2008 consid. 2). d) Lorsqu’elle est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LPA-VD p. 460).</w:t>
      </w:r>
    </w:p>
    <w:p>
      <w:r>
        <w:rPr>
          <w:b/>
        </w:rPr>
        <w:t>E. 5</w:t>
      </w:r>
    </w:p>
    <w:p>
      <w:r>
        <w:t>a) En l’espèce, la demande de révision introduite par le requérant porte sur les jugements rendus le 20 septembre 2016 en les causes ACH 117/15-168/2016, ACH 113/16-172/2016, ACH 114/16-173/2016 et ACH 118/16-169/2016, ainsi que sur les jugements du 6 mars 2017 en les causes ACH 173/16-52/2017, ACH 164/16-53/2017, ACH 178/16-50/2017 et ACH 205/16-51/2017. Cela étant précisé, même à admettre que la demande de révision ait été déposée dans le délai légal de nonante jours et que les conditions de forme soient remplies, de telle sorte qu’elle est recevable, force est de constater qu’il n’existe pas de motifs de révision, et ce pour les raisons suivantes b) Tout d’abord, les éléments invoqués par le requérant, notamment qu’il possède des documents attestant de ses recherches d’emploi, que sa santé s’est dégradée ou encore qu’il est endetté, ne constituent pas des faits nouveaux, puisqu’ils avaient déjà été allégués par l’intéressé dans le cadre des précédentes procédures. Il en va de même des pièces sur lesquelles se fonde le requérant. Quant à l’attestation du 10 novembre 2016 de la société N.________ et au courriel du 15 novembre 2016 adressé par l’assuré à son avocate, on ne voit pas en quoi ces pièces pourraient être assimilées à des éléments nouveaux au sens des conditions précitées, et le requérant ne l’explique d’ailleurs pas. En effet, ces documents, dont R.________ devait au demeurant connaître l’existence au moment des décisions du 6 mars 2017, n’apportent nullement la preuve de faits nouveaux importants ou de faits connus lors des précédentes procédures mais qui n’avaient pas pu être prouvés au détriment du requérant, et qui seraient susceptibles de conduire à des jugements différents. Par ailleurs, les « actes illicites » évoqués par le requérant dans son courrier du 27 décembre 2016 ne sont nullement explicités, de sorte qu’on ne saurait considérer que les jugements querellés ont été influencés par un crime ou un délit au sens de l’art. 100 al. 1 let. a LPA-VD. Il apparaît en réalité que le requérant cherche à remettre en cause l’argumentation juridique des décisions rendues par la Cour de céans, ce qui ne constitue pas un motif susceptible de donner lieu à une révision (cf. supra consid. 4c). c) Compte tenu de ce qui précède, force est de constater que les conditions d’une révision des arrêts ACH 117/15-168/2016, ACH 113/16-172/2016, ACH 114/16-173/2016, ACH 118/16-169/2016, ACH 173/16-52/2017, ACH 164/16-53/2017, ACH 178/16-50/2017 et ACH 205/16-51/2017 ne sont pas réalisées. Ainsi, la demande de révision ne peut qu’être rejetée, dans la mesure où elle est recevable.</w:t>
      </w:r>
    </w:p>
    <w:p>
      <w:r>
        <w:rPr>
          <w:b/>
        </w:rPr>
        <w:t>E. 6</w:t>
      </w:r>
    </w:p>
    <w:p>
      <w:r>
        <w:t>Reste à statuer sur les frais et dépens. a) La procédure devant le tribunal cantonal des assurances est en principe gratuite, sous réserve d'une procédure menée par témérité ou avec légèreté (cf. art. 61 let. a LPGA).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(cf. ATF 124 V 287 consid. 3b et réf. cit.).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(cf. TF 9C_438/2014 et 9C_665/2014 du 23 décembre 2014 consid. 6.1 avec les réf. cit.). b) En l’occurrence, force est de constater qu’à l’appui de la présente procédure judiciaire, le requérant invoque essentiellement des motifs déjà soulevés devant la Cour de céans dans le cadre de ses précédentes affaires, sur lesquels cette dernière s’est prononcée dans ses arrêts. Une telle attitude, qui revient en définitive à faire abstraction d’un jugement entré en force – le requérant considérant d’ailleurs, selon ses propres termes, les arrêts du 6 mars 2017 comme « nuls et non avenus » - relève en soi de la témérité. Cela étant, on renoncera à ce stade à imputer au requérant une astreinte aux frais de procédure, son attention était attirée sur le fait que de tels frais pourraient être mis à sa charge en cas de procédé téméraire ultérieur. Le requérant n’obtenant pas gain de cause et n’étant pas assisté, il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