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159 vom 14. Dezember 2016</w:t>
      </w:r>
    </w:p>
    <w:p>
      <w:r>
        <w:t>VD Tribunal cantonal, 2016-12-14, FR</w:t>
      </w:r>
    </w:p>
    <w:p>
      <w:r>
        <w:rPr>
          <w:b/>
        </w:rPr>
        <w:t xml:space="preserve">Quelle: </w:t>
      </w:r>
      <w:r>
        <w:t>https://mcp.opencaselaw.ch/entscheid/vd_findinfo_Jug___2017___159</w:t>
      </w:r>
    </w:p>
    <w:p>
      <w:r>
        <w:t>FR: VD_FINDINFO Jug / 2017 / 159 du 14 décembre 2016</w:t>
      </w:r>
    </w:p>
    <w:p>
      <w:r>
        <w:t>IT: VD_FINDINFO Jug / 2017 / 159 del 14 dicembre 2016</w:t>
      </w:r>
    </w:p>
    <w:p>
      <w:pPr>
        <w:pStyle w:val="Heading2"/>
      </w:pPr>
      <w:r>
        <w:t>Regeste</w:t>
      </w:r>
    </w:p>
    <w:p>
      <w:r>
        <w:t>APPRÉCIATION DES PREUVES, ACTE D'ORDRE SEXUEL AVEC UNE PERSONNE DÉPENDANTE, FIXATION DE LA PEINE | 191 CP, 42 al. 1 CP, 47 CP, 10 CPP (CH)</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du Ministère public et celui de K.________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 plaignante et le Ministère public contestent l'acquittement dont a bénéficié L.________. Ils font valoir en substance qu'un faisceau d'indices convergents doit conduire à la condamnation du prévenu.</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3.2.2</w:t>
      </w:r>
    </w:p>
    <w:p>
      <w:r>
        <w:t>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voir également ATF 119 IV 230 consid. 3a p. 232).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(TF 6B_920/2009 du 18 février 2010 consid. 3.3.2 ; ATF 133 IV 49 consid. 7.4 p. 56 s, 103 IV 165/166).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(TF 6B_920/2009 du 18 février 2010 consid. 3.3.2 ; ATF 133 IV 49 consid. 7 p. 55 s.). L'infraction est intentionnelle. Il n'y a donc pas d'infraction si l'auteur est convaincu, à tort, que la personne est capable de discernement ou de résistance au moment de l'acte (TF 6B_1083/2014 du 9 juillet 2015 consid. 3.4).</w:t>
      </w:r>
    </w:p>
    <w:p>
      <w:r>
        <w:rPr>
          <w:b/>
        </w:rPr>
        <w:t>E. 3.3</w:t>
      </w:r>
    </w:p>
    <w:p>
      <w:r>
        <w:t>En l’espèce, les premiers juges ont considéré, pour l'essentiel, qu'en l'absence de témoin direct des faits, ils devaient apprécier la valeur probante des déclarations des parties. Si les déclarations du prévenu avaient varié sur un point, celles de la plaignante présentaient également quelques divergences, de sorte qu'ils ne pouvaient se forger une conviction au sujet de la réalité des accusations et des faits figurant dans l'acte d'accusation. Par ailleurs, les témoignages indirects et les constats médicaux n'apportaient pas non plus d'éléments décisifs. Enfin, les premiers juges ont considéré que si la plaignante donnait une impression de sincérité dépourvue de toute malveillance, le profil du prévenu, dont le casier judiciaire était vierge et les renseignements unanimement favorables, ne correspondait absolument pas à celui d'un abuseur sexuel.</w:t>
      </w:r>
    </w:p>
    <w:p>
      <w:r>
        <w:rPr>
          <w:b/>
        </w:rPr>
        <w:t>E. 3.4</w:t>
      </w:r>
    </w:p>
    <w:p>
      <w:r>
        <w:t>La Cour de céans ne partage pas les doutes des premiers juges et considère que les faits sont établis à satisfaction de droit pour les motifs suivants.</w:t>
      </w:r>
    </w:p>
    <w:p>
      <w:r>
        <w:rPr>
          <w:b/>
        </w:rPr>
        <w:t>E. 3.4.1</w:t>
      </w:r>
    </w:p>
    <w:p>
      <w:r>
        <w:t>A titre préalable, on relèvera que si les appelants font grand cas de la déposition de R.________, qui a déclaré avoir vu le prévenu sortir de la salle de consultation le 2 novembre 2015, soit lors de la cinquième et dernière consultation, le visage rouge, en sueur et l’air paniqué, et qui a ressenti que « quelque chose d’inhabituel » s’était produit (PV aud. 6), la Cour de céans ne considère toutefois pas ce témoignage comme décisif. On sait en effet que ce jour-là le témoin est arrivé en retard pour sa séance de physiothérapie, que le prévenu a dû modifier l'ordre des séances et prendre la plaignante en consultation avant le témoin, de sorte que la séance de celui-ci a dû en définitive être annulée. Tant le prévenu que le témoin ont été contrarié par cette situation, ce qui peut aussi expliquer la réaction du prévenu, une partie du témoignage, soit celle sur l'impression de quelque chose d'inhabituel, étant de toute manière subjective.</w:t>
      </w:r>
    </w:p>
    <w:p>
      <w:r>
        <w:rPr>
          <w:b/>
        </w:rPr>
        <w:t>E. 3.4.2</w:t>
      </w:r>
    </w:p>
    <w:p>
      <w:r>
        <w:t>En revanche, il convient de relever la modification de la version du prévenu, qui a déclaré, dans un premier temps, qu'il pouvait avoir glissé sa main vers l'intérieur des fesses de la plaignante et avoir effleuré par mégarde son sexe, sans s'en être aperçu (PV aud. 2, R. 10), contestant ensuite avoir fait de telles déclarations et invoquant avoir signé son procès-verbal sans le relire. Le prévenu a ensuite déclaré n'avoir en aucun cas « touché ou effleuré son sexe » (PV aud. 7, I. 39 à 43). Le motif donné au revirement n'est pas crédible. L'ensemble des déclarations faites lors de l'audition du 11 novembre 2015 devant la police montre en effet que le prévenu a été particulièrement précis s'agissant des zones du corps touchées par ses manipulations, explications qu'il a accompagnées d'un schéma annexé au procès-verbal. Il se réfère d'ailleurs dans le passage contesté au positionnement de ses mains tel que figurant à la réponse précédente. On peut donc partir du principe que le revirement résulte d'une stratégie défensive, le prévenu s'étant présenté assisté à l'audience devant le procureur, en souhaitant rectifier d'emblée ses déclarations.</w:t>
      </w:r>
    </w:p>
    <w:p>
      <w:r>
        <w:rPr>
          <w:b/>
        </w:rPr>
        <w:t>E. 3.4.3</w:t>
      </w:r>
    </w:p>
    <w:p>
      <w:r>
        <w:t>Ensuite, même s'il est juste de dire, avec les premiers juges, que les déclarations de la victime ne sont en elles-mêmes pas suffisantes pour condamner le prévenu, il y a en fait bien plus à retirer du comportement de la victime après les faits, tel que résultant des certificats médicaux. A cet égard, les constatations figurant dans ces documents fournissent, contrairement à ce qu'ont considéré les premiers juges, des indices sérieux. Le lendemain des derniers faits, la plaignante a consulté son gynécologue (p.11/1). Outre qu'il contient le récit des faits, le médecin relève des troubles du sommeil et de fréquents lavages des parties intimes, réaction typique de victime d'abus sexuels. Le même jour, soit le 3 novembre 2015, la plaignante s'est rendue au poste de police de Prilly pour déposer plainte. Elle s'est encore rendue le lendemain à l'unité de médecine des violences pour se soumettre à un nouvel examen médical. Si, comme pour le constat du gynécologue, aucune lésion physique n'a été objectivée, les troubles du sommeil sont également mentionnés, comme la honte de n'avoir pas pu réagir (P. 9/2). On constate donc que, dans le laps de temps qui a immédiatement suivi les derniers faits, la plaignante a entrepris toutes les démarches pour, autant que faire se peut, favoriser la constatation de l'infraction. Le comportement de la victime après les faits, y compris dans la manifestation des conséquences psychologiques, tend donc à démonter la réalité des abus. Il ne s'agit dès lors pas seulement de relever, comme l'ont fait les premiers juges, que la plaignante paraît sincère, mais de constater qu'il est invraisemblable que la victime ait accompli toutes ces démarches si elle n'avait pas été réellement victime des attouchements qu'elle a décrits avec précision aux différents intervenants.</w:t>
      </w:r>
    </w:p>
    <w:p>
      <w:r>
        <w:rPr>
          <w:b/>
        </w:rPr>
        <w:t>E. 3.4.4</w:t>
      </w:r>
    </w:p>
    <w:p>
      <w:r>
        <w:t>Mais il y a plus. Le récit de la victime, détaillé et mesuré, comporte une progression dans l'intensité des actes délictueux, qui rend cette description particulièrement crédible. La plaignante explique avoir d'abord été gênée par une remarque du prévenu au sujet de sa poitrine, faite lors de la première consultation. Le prévenu ne conteste pas l'avoir formulée, mais indique qu'il devait vérifier si cela pouvait avoir un lien avec les douleurs dorsales (PV aud. 2, R. 8). Le récit de la plaignante est donc corroboré par le prévenu, même si par la suite ce dernier a nié avoir fait référence à la poitrine de sa patiente (jgmt, p. 4). Celle-ci explique encore que, lors des troisième et quatrième séances (27 et 29 octobre 2015), le prévenu a posé la main à plusieurs reprises sur son sexe. Comme on l'a vu, le prévenu a reconnu dans un premier temps qu'un tel contact était possible, mais involontaire. Il s'est également rétracté à ce sujet. Lors de la dernière séance (5 e consultation), il aurait, selon la plaignante, introduit les doigts dans le vagin de sa patiente. On constate ainsi des attouchements de plus en plus insistants jusqu'à la pénétration digitale de la dernière séance. Cette progression peut parfaitement s'expliquer à la fois par des pulsions sexuelles de plus en plus affirmées du prévenu et par la passivité de la jeune femme, qui avait tout juste 18 ans, et était particulièrement timide. Comme elle n'a pas tout de suite perçu le caractère sexuel des attouchements, mais a éprouvé un malaise grandissant, le prévenu en a profité pour accentuer ses attouchements au fur et à mesure des consultations. La plaignante, aussitôt après avoir subi les faits les plus graves, a d'ailleurs indiqué au médecin avoir honte de s'être comporté aussi naïvement. Elle a donc compris rétrospectivement le dessein sexuel du prévenu, ce qui explique aussi pourquoi il y a eu autant de consultations avant que la plaignante ne dénonce les faits et pourquoi elle a souhaité se faire accompagner par sa mère à la cinquième consultation (PV aud. 3, R. 7).</w:t>
      </w:r>
    </w:p>
    <w:p>
      <w:r>
        <w:rPr>
          <w:b/>
        </w:rPr>
        <w:t>E. 3.4.5</w:t>
      </w:r>
    </w:p>
    <w:p>
      <w:r>
        <w:t>Les circonstances de dévoilement sont également déterminantes, dès lors qu’elles sont antérieures au geste final. En effet, J.________ a déclaré que sa fille lui avait fait part, avant le cinquième rendez-vous avec le physiothérapeute, soit avant l’abus final, de son malaise lié au fait qu’elle se sentait « trop touchée » lors des séances et qu’elle lui avait demandé, à réitérées reprises, de l’accompagner pour la dernière séance (PV aud. 3). Or, il n’y a aucune raison de mettre en doute les déclarations de la mère de la plaignante, qui accréditent la version des faits de la jeune fille.</w:t>
      </w:r>
    </w:p>
    <w:p>
      <w:r>
        <w:rPr>
          <w:b/>
        </w:rPr>
        <w:t>E. 3.4.6</w:t>
      </w:r>
    </w:p>
    <w:p>
      <w:r>
        <w:t>Le récit de la victime et son comportement après les faits sont cohérents et accréditent sa version. Les contradictions relevées par les premiers juges sur le fait qu'elle était seule ou non dans le cabinet du prévenu sont insignifiantes et s'expliquent parfaitement par la situation dans laquelle elle se trouvait. On ne peut en outre rien déduire du choix des sous-vêtements de la plaignante. A l'inverse, le récit du prévenu, qui a admis dans un premier temps des faits fournis par la plaignante (remarque sur la poitrine et contact physique possible avec le sexe de la patiente), pour les rétracter ensuite, apparaît défensif sur des éléments qui sont révélateurs d'un dessein sexuel. Enfin, le fait que le sous-vêtement de la jeune fille n’a pas révélé de profil masculin n’est pas probant, d’autant moins qu’il s’agissait uniquement de rechercher des cellules épithéliales de la main. Or, la plaignante s’est lavée après les faits litigieux et il s’est écoulé un certain laps de temps avant l’analyse du sous-vêtement, qui était par ailleurs tâché d’huile, de sorte qu’il n’y avait pas forcément de dépôt d’ADN. L’absence de lésion n’est pas non plus incompatible avec la version de la victime, au vu de la nature de l’acte sexuel, à savoir une pénétration digitale.</w:t>
      </w:r>
    </w:p>
    <w:p>
      <w:r>
        <w:rPr>
          <w:b/>
        </w:rPr>
        <w:t>E. 3.4.7</w:t>
      </w:r>
    </w:p>
    <w:p>
      <w:r>
        <w:t>Pour le reste, les déclarations de l'épouse et de l'ami du prévenu n'apportent pas non plus d'éléments d'appréciation décisifs sur les faits de la cause. Si les renseignements sur le prévenu sont effectivement favorables, ils n'excluent aucunement la commission des infractions.</w:t>
      </w:r>
    </w:p>
    <w:p>
      <w:r>
        <w:rPr>
          <w:b/>
        </w:rPr>
        <w:t>E. 3.5</w:t>
      </w:r>
    </w:p>
    <w:p>
      <w:r>
        <w:t>Au vu de l’ensemble des considérations qui précèdent, il n’existe aucun doute raisonnable quant à la réalité des faits reprochés à L.________. Ainsi, accordant sa confiance au prévenu en tant que physiothérapeute, K.________, vêtue de ses seuls sous-vêtements, s'est allongée sur la table de massage. A la demande du praticien, elle s'est positionnée sur le ventre. Sa liberté de mouvement s'en est trouvée particulièrement entravée, de même que par les manipulations physiothérapeutiques qu'elle subissait. Elle ne pouvait en outre pas voir les gestes de ce dernier. Sa posture et son champ visuel l'ont empêchée d'anticiper de quelque manière que ce soit le comportement du prévenu. Elle n'a pu réaliser l'abus que lorsqu'elle a ressenti ses mains, respectivement ses doigts sur et à l’intérieur de son sexe, soit après qu'il avait commencé à abuser d'elle. Dans le cadre d'une relation de confiance et alors qu'elle n'avait aucune raison d'être sur ses gardes, elle a été, à l'évidence, prise au dépourvu par les agissements du thérapeute et, sous l'effet de surprise, incapable d'y résister et de s'y opposer. Les éléments constitutifs de l’infraction prévue à l’art. 191 CP sont donc réalisés, de sorte que L.________ doit être condamné pour actes d’ordre sexuel commis sur une personne incapable de discernement ou de résistance.</w:t>
      </w:r>
    </w:p>
    <w:p>
      <w:r>
        <w:rPr>
          <w:b/>
        </w:rPr>
        <w:t>E. 4.1</w:t>
      </w:r>
    </w:p>
    <w:p>
      <w:r>
        <w:t>Le Ministère public requiert, à l’encontre de L.________, le prononcé d'une peine privative de liberté de 16 mois, dont 8 mois fermes, le solde avec sursis pendant trois ans.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4.2.3</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4.3</w:t>
      </w:r>
    </w:p>
    <w:p>
      <w:r>
        <w:t>En l’espèce, le prévenu s'est rendu coupable d’actes d’ordre sexuel commis sur une personne incapable de discernement ou de résistance. Sa culpabilité n'est pas négligeable. Il a profité de la confiance que lui avait témoignée la victime en sa qualité de thérapeute pour lui infliger des actes d’ordre sexuel. Il persiste à contester les faits, ne manifestant aucune prise de conscience de ceux-ci et des conséquences qui en résultent pour K.________, qui était tout juste majeure lors de la survenance des faits. L’absence d’antécédents est un élément neutre. Au vu de l’ensemble de ces éléments, une peine privative de liberté de 12 mois est adéquate pour sanctionner le comportement de L.________. En l’absence d’antécédents, cette peine peut être assortie du sursis. Un délai d’épreuve de trois ans s'avère approprié pour atteindre le but d'amendement durable recherché.</w:t>
      </w:r>
    </w:p>
    <w:p>
      <w:r>
        <w:rPr>
          <w:b/>
        </w:rPr>
        <w:t>E. 5.1</w:t>
      </w:r>
    </w:p>
    <w:p>
      <w:r>
        <w:t>L’appelante a conclu à l’allocation d’un montant de 750 fr. à titre d’indemnité pour tort moral.</w:t>
      </w:r>
    </w:p>
    <w:p>
      <w:r>
        <w:rPr>
          <w:b/>
        </w:rPr>
        <w:t>E. 5.2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p. 704 s.; 129 IV 22 consid. 7.2 p. 37 et les arrêts cités).</w:t>
      </w:r>
    </w:p>
    <w:p>
      <w:r>
        <w:rPr>
          <w:b/>
        </w:rPr>
        <w:t>E. 5.3</w:t>
      </w:r>
    </w:p>
    <w:p>
      <w:r>
        <w:t>En l'occurrence, il est indéniable que la jeune femme a subi un tort moral en raison des actes illicites. Au regard de l’ensemble des circonstances, l’allocation d’un montant de 750 fr. est justifiée et apparaît même modeste.</w:t>
      </w:r>
    </w:p>
    <w:p>
      <w:r>
        <w:rPr>
          <w:b/>
        </w:rPr>
        <w:t>E. 6</w:t>
      </w:r>
    </w:p>
    <w:p>
      <w:r>
        <w:t>Comme le sort de l’action pénale est modifié en deuxième instance par la condamnation de L.________, ce dernier doit supporter les frais de première instance (art. 426 al. 1 CPP), par 12'418 fr. 90, y compris l’indemnité allouée au conseil juridique gratuit, par 5'381 fr. 65. Pour les mêmes motifs, aucune indemnité au sens de l’art. 429 CPP ne doit lui être allouée pour la procédure de première instance.</w:t>
      </w:r>
    </w:p>
    <w:p>
      <w:r>
        <w:rPr>
          <w:b/>
        </w:rPr>
        <w:t>E. 7</w:t>
      </w:r>
    </w:p>
    <w:p>
      <w:r>
        <w:t>En conclusion, les appels doivent être admis et le jugement attaqué réformé dans le sens des considérants qui précèdent. Me Martin Brechbühl, conseil d’office de K.________, a produit une liste des opérations, dont il ressort un temps total de 774 minutes. Cette durée est un peu trop élevée. La durée estimée de l’audience d’appel et le temps estimé pour les opérations à intervenir sont excessifs. Le montant de l’indemnité doit ainsi être arrêté sur la base d’une durée d’activité utile du conseil de 11 heures 15. C'est donc une indemnité de 2'370 fr. 60, correspondant à 11 heures 15 d’activité à 180 fr., plus une vacation à 120 fr., plus 50 fr. de débours, plus la TVA, qui doit être allouée à Me Martin Brechbühl pour la procédure d’appel. Vu l'issue de la cause, les frais d'appel, par 4’420 fr. 60, comprenant l’émolument de jugement par 2’050 fr. (art. 21 al. 1 TFIP [Tarif des frais de procédure et indemnités en matière pénale du 28 septembre 2010 ; RSV 312.03.1]), ainsi que l’indemnité allouée au conseil d’office de la plaignante, seront mis à la charge de L.________, qui succombe (art. 428 al. 1 CPP). La Cour d’appel pénale, appliquant les art. 40, 42 al. 1, 44 al. 1, 47, 50, 191 CP et 398 ss CPP, prononce : I. Les appels sont admis. II. Le jugement rendu le 14 décembre 2016 par le Tribunal correctionnel de l’arrondissement de Lausanne est réformé et il est statué à nouveau comme suit : " I. libère L.________ du chef d’accusation de contrainte sexuelle; II. déclare L.________ coupable d’actes d’ordre sexuel commis sur une personne incapable de discernement ou de résistance; III. condamne L.________ à une peine privative de liberté de 12 (douze) mois; IV. suspend l'exécution de la peine privative de liberté prononcée sous chiffre III et fixe le délai d'épreuve à 3 ans; V. dit que L.________ est le débiteur de K.________ et lui doit immédiat paiement de la somme de 750 fr., avec intérêt à 5% l’an dès le 2 novembre 2015, à titre d’indemnité pour tort moral; VI. dit qu’aucune indemnité n’est allouée à L.________ pour les dépenses occasionnées par l’exercice raisonnable de ses droits de procédure (art. 429 al. 1 let. a CPP); VI. met les frais de la cause, par 12'418 fr. 90, y compris l’indemnité allouée au conseil juridique gratuit, par 5'381 fr. 65, à la charge de L.________." III. Une indemnité de conseil d'office pour la procédure d'appel d'un montant de 2'370 fr. 60 , TVA et débours inclus, est allouée à Me Martin Brechbühl. IV. Les frais d'appel, par 4’420 fr. 60, y compris l'indemnité allouée au ch. III ci-dessus, sont mis à la charge de L.________. V. Le jugement motivé est exécutoire. Le président :              La greffière : Du Le jugement qui précède, dont le dispositif a été communiqué par écrit aux intéressés le 31 mars 2017 , est notifié, par l'envoi d'une copie complète, à : - Me Martin Brechbühl, avocat (pour K.________), - Me Corinne Monnard Séchaud, avocate (pour L.________), - Ministère public central, et communiqué à : - M. le Président du Tribunal correctionnel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