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149 vom 16. November 2016</w:t>
      </w:r>
    </w:p>
    <w:p>
      <w:r>
        <w:t>VD Tribunal cantonal, 2016-11-16, FR</w:t>
      </w:r>
    </w:p>
    <w:p>
      <w:r>
        <w:rPr>
          <w:b/>
        </w:rPr>
        <w:t xml:space="preserve">Quelle: </w:t>
      </w:r>
      <w:r>
        <w:t>https://mcp.opencaselaw.ch/entscheid/vd_findinfo_Jug___2017___149</w:t>
      </w:r>
    </w:p>
    <w:p>
      <w:r>
        <w:t>FR: VD_FINDINFO Jug / 2017 / 149 du 16 novembre 2016</w:t>
      </w:r>
    </w:p>
    <w:p>
      <w:r>
        <w:t>IT: VD_FINDINFO Jug / 2017 / 149 del 16 novembre 2016</w:t>
      </w:r>
    </w:p>
    <w:p>
      <w:pPr>
        <w:pStyle w:val="Heading2"/>
      </w:pPr>
      <w:r>
        <w:t>Regeste</w:t>
      </w:r>
    </w:p>
    <w:p>
      <w:r>
        <w:t>ENCOURAGEMENT{EN GÉNÉRAL}, SÉJOUR ILLÉGAL | 116 al. 1 let. a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2.2</w:t>
      </w:r>
    </w:p>
    <w:p>
      <w:r>
        <w:t>et les références citées). En revanche, celui qui héberge un étranger en situation irrégulière durant trois mois et demi environ, alors que les autorités ignorent le lieu de résidence de l’étranger ainsi accueilli, rendu plus difficile, voie exclut, le pouvoir d’intervention de ces autorités (ATF 130 IV 77 consid. 2.3). A défaut de mention expresse de la négligence, l'incitation au séjour illégal, qui constitue un délit, ne peut être commise qu'intentionnellement ; le dol éventuel est suffisant (cf. art. 12 al. 1 CP en relation avec l’art. 10 al. 1 et 3 CP ; TF 6B_128/2009 précité).</w:t>
      </w:r>
    </w:p>
    <w:p>
      <w:r>
        <w:rPr>
          <w:b/>
        </w:rPr>
        <w:t>E. 3</w:t>
      </w:r>
    </w:p>
    <w:p>
      <w:r>
        <w:t>L’appelant invoque une constatation incomplète ou erronée des faits. Il fait valoir que le premier juge a retenu à tort qu’il avait hébergé Z.________ et qu’il savait qu’elle était en situation irrégulière. Il affirme également que les déclarations de cette dernière ne pouvaient être retenues sur cette question alors même qu’elles ont été écartées pour le reste.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w:t>
      </w:r>
    </w:p>
    <w:p>
      <w:r>
        <w:t>En l’espèce, il est vrai, comme l’affirme l’appelant, que les déclarations de Z.________ ont été pour l’essentiel écartées dès lors qu’il a bénéficié d’une ordonnance de classement en ce qui concerne les accusations de viol, de contrainte sexuelle et de voies de fait notamment proférées par celle-ci. Il n’en demeure pas moins que s’agissant des conditions de séjour de Z.________ sur le territoire suisse, les déclarations du prévenu, fluctuantes, manquent de crédibilité. Entendu le 11 juin 2015, l’appelant a indiqué avoir demandé à Z.________ de venir vivre avec lui, ce qu’elle avait fait en novembre 2012 (PV aud. 2, p. 3). Il a nuancé ses propos devant le premier juge en déclarant qu’elle venait régulièrement chez lui (jugt., p. 3). A l’audience d’appel, il a finalement affirmé qu’elle venait sporadiquement chez lui. Force est donc de constater que les explications du prévenu sont contradictoires et à l’instar du premier juge, il doit être retenu que L.________ a hébergé Z.________ du 1 er novembre 2012 au 31 mai 2015. Par ailleurs, en tant qu’ancien requérant d’asile, et même si les lois en la matière ont été modifiées, le prévenu ne peut être suivi lorsqu’il prétend qu’il ignorait tout du statut de son amie au regard du droit des étrangers alors qu’ils avaient des projets de mariage. Devant la police, il a déclaré qu’il savait que Z.________ avait déposé une demande d’asile lorsqu’il est tombé amoureux d’elle, mais ignorait qu’elle était en situation irrégulière (PV aud. 2, p. 6). Revenant sur ses déclarations, il a soutenu aux débats de première instance qu’elle lui avait dit qu’elle était au bénéfice d’un permis B (jugt., p. 3) et à l’audience d’appel qu’elle travaillait dans un tea-room ou un bistrot. Enfin, Z.________ a affirmé que l’appelant savait qu’elle n’était au bénéfice d’aucune autorisation de séjourner en Suisse. Ainsi, il y a lieu d’écarter les déclarations du prévenu et de retenir, comme le premier juge, qu’il savait que son amie, qu’il a hébergée du 1 er novembre 2012 au 31 mai 2015, n’était pas au bénéfice d’une autorisation de séjour en Suisse.</w:t>
      </w:r>
    </w:p>
    <w:p>
      <w:r>
        <w:rPr>
          <w:b/>
        </w:rPr>
        <w:t>E. 4</w:t>
      </w:r>
    </w:p>
    <w:p>
      <w:r>
        <w:t>L’appelant conteste s’être rendu coupable d’incitation à séjour illégal.</w:t>
      </w:r>
    </w:p>
    <w:p>
      <w:r>
        <w:rPr>
          <w:b/>
        </w:rPr>
        <w:t>E. 4.1</w:t>
      </w:r>
    </w:p>
    <w:p>
      <w:r>
        <w:t>Sous le titre « Incitation à l'entrée, à la sortie ou au séjour illégaux », l'art. 116 al. 1 let. a LEtr (Loi fédérale sur les étrangers du 16 décembre 2005 ; RS 142.20) punit d'une peine privative de liberté d'un an au plus ou d'une peine pécuniaire celui qui, en Suisse ou à l'étranger, facilite l'entrée, la sortie ou le séjour illégal d'un étranger ou participe à des préparatifs dans ce but. Sous une formulation quelque peu différente, cette nouvelle disposition, entrée en vigueur le 1 er janvier 2008, correspond à l'art. 23 al. 1 5 ème phrase de l'ancienne loi fédérale sur le séjour et l'établissement des étrangers (LSEE), qui punissait « celui qui, en Suisse ou à l'étranger, facilit[ait] ou aid[ait] à préparer une entrée ou une sortie illégale ou un séjour illégal » (RO 1949 229 ; Message du 8 mars 2002 concernant la loi sur les étrangers, FF 2002 3469 ss ch. 2.15 p. 3587).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concernant l'ancien art. 23 LSEE). En règle générale, il est admis que celui qui héberge une personne séjournant illégalement en Suisse facilite le séjour illégal de celle-ci, qu'il agisse en tant qu'hôtelier, de bailleur ou d'employeur qui loue une chambre (ATF 118 IV 262 consid. 3a ; ATF 112 IV 121 consid. 1). Le logement est alors susceptible de devenir une cachette pour l'étranger en situation irrégulière, lui permettant ainsi de se soustraire à l'intervention des autorités administratives (ATF 130 IV 77 consid. 2.3.2).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l’étranger (TF 6B_128/2009 du 17 juillet 2009 consid.</w:t>
      </w:r>
    </w:p>
    <w:p>
      <w:r>
        <w:rPr>
          <w:b/>
        </w:rPr>
        <w:t>E. 4.2</w:t>
      </w:r>
    </w:p>
    <w:p>
      <w:r>
        <w:t>En l’espèce, le prévenu a hébergé, entre le 1 er novembre 2012 et le 31 mai 2015, Z.________ dont il savait qu’elle n’avait pas de permis de séjour. Depuis l’arrêt du 20 octobre 2011 du Tribunal administratif fédéral rejetant son recours, aucune décision fédérale ou cantonale ultérieure n’a autorisé le séjour de celle-ci en Suisse (P. 24), ce que le prévenu ne pouvait ignorer. Le SPOP a en outre indiqué que du 1 er novembre 2012 au 7 juillet 2015, Z.________ était sans domicile connu, mais que divers actes et courriers avaient été échangés durant cette période à l’adresse [...] à Yverdon (P. 49). Or, celle-ci vivait du 1 er novembre 2012 au 31 mai 2015 chez l’appelant, ce que le SPOP ignorait. Le prévenu savait d’ailleurs que cette autorité connaissait l’adresse à [...] et non la sienne, comme il l’a indiqué dans un courrier du 17 février 2016 (P. 27). Partant, les éléments objectifs et subjectifs de l’infraction d’incitation à séjour illégal sont réalisés, l’appelant ne pouvant se prévaloir d’aucun fait justificatif au sens de l’art. 14 CP.</w:t>
      </w:r>
    </w:p>
    <w:p>
      <w:r>
        <w:rPr>
          <w:b/>
        </w:rPr>
        <w:t>E. 5</w:t>
      </w:r>
    </w:p>
    <w:p>
      <w:r>
        <w:t>L’appelant, qui concluait à son acquittement, ne conteste pas la peine en tant que telle. Examinée d’office, la Cour d’appel considère que la peine prononcée a été fixée en application des critères légaux à charge et à décharge et conformément à la culpabilité et à la situation personnelle de L.________. La peine pécuniaire de 60 jours-amende à 50 fr. le jour, prononcée par le premier juge, est adéquate et doit être confirmée.</w:t>
      </w:r>
    </w:p>
    <w:p>
      <w:r>
        <w:rPr>
          <w:b/>
        </w:rPr>
        <w:t>E. 6</w:t>
      </w:r>
    </w:p>
    <w:p>
      <w:r>
        <w:t>En définitive, l’appel de L.________ doit être rejeté et le jugement attaqué intégralement confirmé. Vu l’issue de la cause, les frais d’appel, constitués de l'émolument de jugement, par 1’280 fr. (art. 21 al. 1 TFIP [Tarif des frais de procédure et indemnités en matière pénale du 28 septembre 2010 ; RSV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