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136 vom 10. November 2016</w:t>
      </w:r>
    </w:p>
    <w:p>
      <w:r>
        <w:t>VD Tribunal cantonal, 2016-11-10, FR</w:t>
      </w:r>
    </w:p>
    <w:p>
      <w:r>
        <w:rPr>
          <w:b/>
        </w:rPr>
        <w:t xml:space="preserve">Quelle: </w:t>
      </w:r>
      <w:r>
        <w:t>https://mcp.opencaselaw.ch/entscheid/vd_findinfo_Jug___2017___136</w:t>
      </w:r>
    </w:p>
    <w:p>
      <w:r>
        <w:t>FR: VD_FINDINFO Jug / 2017 / 136 du 10 novembre 2016</w:t>
      </w:r>
    </w:p>
    <w:p>
      <w:r>
        <w:t>IT: VD_FINDINFO Jug / 2017 / 136 del 10 novembre 2016</w:t>
      </w:r>
    </w:p>
    <w:p>
      <w:pPr>
        <w:pStyle w:val="Heading2"/>
      </w:pPr>
      <w:r>
        <w:t>Regeste</w:t>
      </w:r>
    </w:p>
    <w:p>
      <w:r>
        <w:t>CONTRAINTE{DROIT PÉNAL}, TENTATIVE{DROIT PÉNAL}, TRAITEMENT AMBULATOIRE, SURSIS À L'EXÉCUTION DE LA PEINE, CONFISCATION{DROIT PÉNAL} | 22 ad 181 CP, 42 al. 1 CP, 63 CP, 69 CP</w:t>
      </w:r>
    </w:p>
    <w:p>
      <w:pPr>
        <w:pStyle w:val="Heading2"/>
      </w:pPr>
      <w:r>
        <w:t>Erwägungen</w:t>
      </w:r>
    </w:p>
    <w:p>
      <w:r>
        <w:rPr>
          <w:b/>
        </w:rPr>
        <w:t>E. 1</w:t>
      </w:r>
    </w:p>
    <w:p>
      <w:r>
        <w:t>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conteste tout d’abord l’acquittement dont a bénéficié l’intimé s’agissant du chef d’accusation de tentative d’extorsion, subsidiairement de tentative de contrainte. Il fait valoir que les motifs avancés par le premier juge pour libérer l’intimé de l’infraction de tentative d’extorsion, ou subsidiairement de tentative de contrainte, sont erronés, car il est établi que l’intimé a élevé, de manière menaçante, des prétentions exorbitantes, consacrant un dessein d’enrichissement illégitime, ou à défaut, à tout le moins des pressions illicites. Ces moyens illicites étant en relation de causalité avec ses revendications, une condamnation pour infraction à l’art. 156 ou 181 CP devrait être prononcée.</w:t>
      </w:r>
    </w:p>
    <w:p>
      <w:r>
        <w:rPr>
          <w:b/>
        </w:rPr>
        <w:t>E. 3.1.1</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et les références citées).</w:t>
      </w:r>
    </w:p>
    <w:p>
      <w:r>
        <w:rPr>
          <w:b/>
        </w:rPr>
        <w:t>E. 3.1.2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134 IV 216 consid. 4.2 ; 119 IV 301 consid. 2a). Selon la jurisprudence,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TF 6B _70/2016 du 2 juin 2016 consid. 4.3.4 ; TF 6B_1086/2015 du 3 juin 2016 ; TF 6B_447/2014 du 30 octobre 2014 ; TF 6B_281/2013 du 16 juillet 2013 ; TF 6S.853/2000 du 9 mai 2001 et TF 6S.874/1996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(ATF 129 IV 262; ATF 106 IV 125 consid. 2b p. 12).</w:t>
      </w:r>
    </w:p>
    <w:p>
      <w:r>
        <w:rPr>
          <w:b/>
        </w:rPr>
        <w:t>E. 3.2.1</w:t>
      </w:r>
    </w:p>
    <w:p>
      <w:r>
        <w:t>Le premier juge a retenu que les chiffres articulés par le prévenu pour ses prétentions envers les sociétés qui l’avaient employé (pour des sommes comprises entre 230'000 et 800'000 fr.) correspondaient à la valeur estimée de son travail. Le prévenu considérait en effet qu’il avait permis des économies substantielles à son employeur dans le suivi d’un chantier et, suite à son licenciement intervenu en mai 2012, il estimait qu’il devait obtenir un dédommagement pour ce motif, quand bien même une indemnité de licenciement d’un montant de l’ordre de 14'000 fr. lui avait déjà été versée. Pour démontrer le dessein d’enrichissement illégitime, le Ministère public se fonde sur le fait que l’intimé n’a jamais entrepris d’actions judiciaires ou intenté des poursuites à l’encontre des sociétés du groupe V.Hôtels________. Certes, du point de vue juridique, le fait que le prévenu ait obtenu une indemnité de licenciement et qu’il n’ait jamais fait valoir ses droits pour le surplus tend à confirmer un dessein d’enrichissement illégitime, à tout le moins par dol éventuel. Toutefois, le prévenu apparaît à travers ses différents écrits comme tellement convaincu de l’injustice dont il serait victime qu’on doit admettre, au moins au bénéfice du doute, qu’il était de la même manière convaincu du bien-fondé de ses prétentions. L’infraction de tentative d’extorsion ne sera par conséquent pas retenue.</w:t>
      </w:r>
    </w:p>
    <w:p>
      <w:r>
        <w:rPr>
          <w:b/>
        </w:rPr>
        <w:t>E. 3.2.2</w:t>
      </w:r>
    </w:p>
    <w:p>
      <w:r>
        <w:t>En revanche, la tentative de contrainte est sans conteste réalisée. L’intimé ne peut pas nier le caractère menaçant de ses écrits et n’en a du reste pas contesté le contenu durant l’enquête (PV aud. 1 l. 92). Les menaces résidaient pour l’essentiel dans le fait de dénoncer les entreprises concernées auprès de nombreuses autorités et de tiers (« il ne vous reste que très peu de temps avant que la presse et les institutions fiscales et politiques ne s’intéressent à vos divers cas », par exemple, P. 5/4, p. 57), mais parfois il s’agissait aussi de menaces physiques (« je me demande quelle sera l’attitude de votre famille lorsque vous serez à l’hôpital et/ou en prison », par exemple, P. 5/4, p. 61). C’est donc à tort que le premier juge ne s’est limité à examiner qu’une faible partie des menaces proférées pour considérer que les plaignants n’avaient pas été menacés d’un dommage sérieux (jgt, p. 21). Il faut au contraire admettre que le prévenu a déployé à plusieurs reprises des moyens manifestement illicites pour tenter de faire payer ses parties adverses. Cela est d’autant plus vrai qu’il s’est livré durablement à un véritable harcèlement des plaignants, utilisant non seulement des messages qui leur étaient adressés directement, mais également des « blogs » et des tracts. Ces menaces, par leur nombre et leur intensité, étaient propres à entraver les plaignants dans leur liberté d’action. Subjectivement, l’intimé ne pouvait ignorer le caractère illicite de ses procédés. Les plaignants n’ayant pas cédé aux revendications du prévenu, celui-ci doit être condamné pour tentative de contrainte.</w:t>
      </w:r>
    </w:p>
    <w:p>
      <w:r>
        <w:rPr>
          <w:b/>
        </w:rPr>
        <w:t>E. 4</w:t>
      </w:r>
    </w:p>
    <w:p>
      <w:r>
        <w:t>Le Ministère public conteste également l’acquittement dont a bénéficié le prévenu pour insoumission à une décision de l’autorité. Il fait valoir que le prévenu n’a pas respecté les injonctions contenues dans l’ordonnance du 12 novembre 2014 et dans le jugement du 23 mars 2015, injonctions assorties des mentions à la peine prévue à l’art. 292 CP en cas d’insoumission.</w:t>
      </w:r>
    </w:p>
    <w:p>
      <w:r>
        <w:rPr>
          <w:b/>
        </w:rPr>
        <w:t>E. 4.1</w:t>
      </w:r>
    </w:p>
    <w:p>
      <w:r>
        <w:t>Conformément à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voir également ATF 131 IV 132 consid. 3 ; ATF 124 IV 297 consid. 4e).</w:t>
      </w:r>
    </w:p>
    <w:p>
      <w:r>
        <w:rPr>
          <w:b/>
        </w:rPr>
        <w:t>E. 4.2</w:t>
      </w:r>
    </w:p>
    <w:p>
      <w:r>
        <w:t>Les chiffres VII de l’ordonnance (P. 8/2) et du jugement (P. 25/2) ne font pas état expressément de la peine d’amende prévue à l’art. 292 CP, de sorte que l’injonction contenue dans ces décisions est inopérante. Une condamnation pour cette infraction n’entre pas donc en considération. Le moyen est dès lors mal fondé.</w:t>
      </w:r>
    </w:p>
    <w:p>
      <w:r>
        <w:rPr>
          <w:b/>
        </w:rPr>
        <w:t>E. 5</w:t>
      </w:r>
    </w:p>
    <w:p>
      <w:r>
        <w:t>L’intimé doit en définitive être condamné pour tentative de contrainte.</w:t>
      </w:r>
    </w:p>
    <w:p>
      <w:r>
        <w:rPr>
          <w:b/>
        </w:rPr>
        <w:t>E. 6</w:t>
      </w:r>
    </w:p>
    <w:p>
      <w:r>
        <w:t>L’appelant requiert que l’intimé soit condamné à une peine privative de liberté de six mois.</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6.2</w:t>
      </w:r>
    </w:p>
    <w:p>
      <w:r>
        <w:t>La culpabilité de l’intimé n’est pas négligeable. A charge, il a choisi de mener une compagne de harcèlement alors qu’il aurait pu saisir la justice, laquelle aurait pu se prononcer sur le bien-fondé de ses revendications. Il a fait preuve d’un acharnement peu commun, en agissant sur une longue période, en variant des méthodes d’intimidation et en s’adressant à des entités différentes. On prendra également en compte ses antécédents judiciaires. A décharge, on retiendra la légère diminution de responsabilité résultant de l’expertise psychiatrique (P. 26 et 45). On retiendra également que l’intimé a commis les faits qui lui sont reprochés dans un contexte de conflit de travail, après avoir été affecté par son licenciement. L’infraction reprochée à l’intimé ayant été commise pour partie avant la condamnation prononcée le 15 décembre 2015 par la Cour d’appel pénale et pour partie après, il convient de prononcer une peine partiellement complémentaire (art. 49 al. 2 CP). Compte tenu de la culpabilité de l’intimé, celui-ci doit être condamné à une peine pécuniaire de 40 jours-amende. Le montant du jour-amende est fixé à 20 francs, au vu de sa situation financière précaire.</w:t>
      </w:r>
    </w:p>
    <w:p>
      <w:r>
        <w:rPr>
          <w:b/>
        </w:rPr>
        <w:t>E. 7.1</w:t>
      </w:r>
    </w:p>
    <w:p>
      <w:r>
        <w:t>Selon l’art. 42 al. 1 CP, le juge suspend en règle générale l’exécution d’une peine pécuniaire lorsqu’une peine ferme ne paraît pas nécessaire pour détourner l’auteur d’autres crimes ou délits. Sur le plan subjectif, le juge doit poser un pronostic quant au comportement futur de l’auteur. Il suffit qu’il n’y ait pas de pronostic défavorable. La loi présume l’existence d’un pronostic favorable ; le sursis est la règle dont on ne peut s’écarter qu’en présence d’un pronostic défavorable (ATF 135 IV 180 consid. 2.1 [fr.] ; ATF 134 IV 1 consid. 4.2.2).</w:t>
      </w:r>
    </w:p>
    <w:p>
      <w:r>
        <w:rPr>
          <w:b/>
        </w:rPr>
        <w:t>E. 7.2</w:t>
      </w:r>
    </w:p>
    <w:p>
      <w:r>
        <w:t>En l’espèce, les faits qui sont reprochés à l’intimé sont intervenus dans un contexte particulier de conflit de travail et il s’agit de prononcer une peine partiellement complémentaire à une peine assortie du sursis. Le pronostic n’apparaissant ainsi pas entièrement défavorable, l’intimé sera mis au bénéfice d’un délai d’épreuve de deux ans.</w:t>
      </w:r>
    </w:p>
    <w:p>
      <w:r>
        <w:rPr>
          <w:b/>
        </w:rPr>
        <w:t>E. 8.1</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6B_122/2015 du 29 juillet 2016 consid. 1.2.4 et les réf. citées).</w:t>
      </w:r>
    </w:p>
    <w:p>
      <w:r>
        <w:rPr>
          <w:b/>
        </w:rPr>
        <w:t>E. 8.2</w:t>
      </w:r>
    </w:p>
    <w:p>
      <w:r>
        <w:t>En l’espèce, un pronostic défavorable ne pouvant pas être retenu (cf. consid. 7.2), le traitement ambulatoire requis par le Ministère public ne peut pas être ordonné.</w:t>
      </w:r>
    </w:p>
    <w:p>
      <w:r>
        <w:rPr>
          <w:b/>
        </w:rPr>
        <w:t>E. 9</w:t>
      </w:r>
    </w:p>
    <w:p>
      <w:r>
        <w:t>Le Ministère public requiert encore la confiscation et la destruction de l’ordinateur séquestré.</w:t>
      </w:r>
    </w:p>
    <w:p>
      <w:r>
        <w:rPr>
          <w:b/>
        </w:rPr>
        <w:t>E. 9.1</w:t>
      </w:r>
    </w:p>
    <w:p>
      <w:r>
        <w:t>Selon l’art. 69 CP, le juge prononce la confiscation des objets qui ont servi ou devaient servir à commettre une infraction ou qui sont le produit d’une infraction, si ces objets compromettent la sécurité des personnes, la morale ou l’ordre public. Cette disposition a pour but de protéger la collectivité d’une mise en danger future. Il suffit qu’il soit vraisemblable qu’il y ait un danger si l’objet n’est pas confisqué en main de l’ayant droit. A cet égard, le juge doit poser un pronostic quant à la vraisemblance suffisante que l’objet, dans la main de l’auteur, compromette à l’avenir la sécurité des personnes, la morale ou l’ordre public (ATF 130 IV 143 consid. 3.3.1, JdT 2006 IV 75 ; ATF 127 IV 203 consid. 7b [fr.] ; ATF 125 IV 185 consid. 2 ; Dupuis et alii, Petit commentaire, Code pénal, nn. 1 et 12 ad art. 69 CP et les réf. citées). Conformément à l'art. 267 al. 1 CPP, si le motif du séquestre disparaît, le ministère public ou le tribunal lève la mesure et restitue les objets et valeurs patrimoniales à l'ayant droit.</w:t>
      </w:r>
    </w:p>
    <w:p>
      <w:r>
        <w:rPr>
          <w:b/>
        </w:rPr>
        <w:t>E. 9.2</w:t>
      </w:r>
    </w:p>
    <w:p>
      <w:r>
        <w:t>En l’espèce, la demande du Ministère public est implicitement fondée sur le risque de récidive que présenterait le prévenu qui a recouru à des blogs ou des envois courriels pour harceler ses parties adverses, l’ordinateur représentant l’objet destiné à commettre l’infraction au sens de l’art. 69 CP. Il n’est toutefois pas établi à satisfaction de droit que l’ordinateur de l’intimé serve à nouveau à la réalisation d’infractions. Pour ces motifs, la confiscation de l’ordinateur séquestré ne sera pas ordonnée, la décision du premier juge de lever le séquestre et de restituer l’ordinateur à l’intimé étant confirmée.</w:t>
      </w:r>
    </w:p>
    <w:p>
      <w:r>
        <w:rPr>
          <w:b/>
        </w:rPr>
        <w:t>E. 10</w:t>
      </w:r>
    </w:p>
    <w:p>
      <w:r>
        <w:t>Il résulte de ce qui précède que l’appel doit être partiellement admis et le jugement entrepris réformé dans le sens des considérants qui précèdent. En outre, un chef d’accusation étant retenu, les frais de première instance seront mis par moitié, soit 9'209 fr. 70, y compris la moitié de l’indemnité du défenseur d’office de l’intimé, à la charge de celui-ci, le solde étant laissé à la charge de l’Etat. Une indemnité pour la procédure d'appel d'un montant de 1'690 fr. 20, sera allouée au défenseur d'office de l’intimé. Ce montant correspond à la liste d’opérations produite par Me Pierre-Yves Brandt (P. 115), à laquelle s’ajoute un forfait de 50 fr. pour les débours. Vu l'issue de la cause, la moitié des frais d'appel constitués de l’émolument de jugement, par 2’680 fr. (art. 21 al. 1 et 2 TFIP [Tarif des frais de procédure et indemnités en matière pénale du 28 septembre 2010; RSV 312.03.1]) et de l’indemnité de défense d'office arrêtée à 1'690 fr. 20 (art. 422 al. 1 et 2 let. a CPP), seront mis à la charge de  M.________, le solde étant laissé à la charge de l’Etat. L’intimé ne sera tenu de rembourser à l’Etat la part du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