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122 vom 21. September 2016</w:t>
      </w:r>
    </w:p>
    <w:p>
      <w:r>
        <w:t>VD Tribunal cantonal, 2016-09-21, FR</w:t>
      </w:r>
    </w:p>
    <w:p>
      <w:r>
        <w:rPr>
          <w:b/>
        </w:rPr>
        <w:t xml:space="preserve">Quelle: </w:t>
      </w:r>
      <w:r>
        <w:t>https://mcp.opencaselaw.ch/entscheid/vd_findinfo_Jug___2017___122</w:t>
      </w:r>
    </w:p>
    <w:p>
      <w:r>
        <w:t>FR: VD_FINDINFO Jug / 2017 / 122 du 21 septembre 2016</w:t>
      </w:r>
    </w:p>
    <w:p>
      <w:r>
        <w:t>IT: VD_FINDINFO Jug / 2017 / 122 del 21 settembre 2016</w:t>
      </w:r>
    </w:p>
    <w:p>
      <w:pPr>
        <w:pStyle w:val="Heading2"/>
      </w:pPr>
      <w:r>
        <w:t>Regeste</w:t>
      </w:r>
    </w:p>
    <w:p>
      <w:r>
        <w:t>CONSTATATION DES FAITS, ESCROQUERIE, FIXATION DE LA PEINE, SURSIS À L'EXÉCUTION DE LA PEINE, INTENTION | 12 CP, 146 CP, 47 CP, 10 CPP (CH), 3 al. 2 let. c CPP (CH), 398 al. 3 let. b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A.T.________ et de B.T.________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I. Appel de A.T.________</w:t>
      </w:r>
    </w:p>
    <w:p>
      <w:r>
        <w:rPr>
          <w:b/>
        </w:rPr>
        <w:t>E. 3</w:t>
      </w:r>
    </w:p>
    <w:p>
      <w:r>
        <w:t>L’appelant, invoquant une violation du principe de la présomption d’innocence, fait d’abord valoir une constatation erronée des faits. Il soutient que ses déclarations n’auraient pas été prises en compte par le tribunal, en particulier celles relatives à la connaissance des faits délictueux par son épouse. Il expose en outre qu’il ne serait pas établi à satisfaction de droit que les époux n’auraient pas déclaré leur compte [...].</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3.2</w:t>
      </w:r>
    </w:p>
    <w:p>
      <w:r>
        <w:t>Contrairement à ce que soutient l’appelant, les constatations du tribunal ne sont pas erronées du seul fait que ce ne sont pas ses déclarations qui ont été retenues. Les premiers juges ont au contraire retenu que l’appelant avait menti sur une partie des faits reprochés, en contestant avoir caché des éléments de fortune ou des revenus (jgt, p. 21). Ils ont notamment relevé que l’appelant avait fait l’objet de plusieurs condamnations pour des fraudes aux prestations sociales et qu’il ne pouvait par conséquent pas ignorer les obligations d’annonce à la charge des bénéficiaires de telles prestations (jgt, p.21). Ils ne lui ont ainsi pas accordé crédit lorsqu’il affirmait qu’il croyait qu’il n’avait pas besoin de déclarer l’une ou l’autre de ses sociétés au motif qu’elle ne lui apportait rien. Il en va de même de la prétendue ignorance de son épouse au sujet de ses agissements délictueux. En effet, les premiers juges ont au contraire retenu que celle-ci s’était retranchée derrière sa méconnaissance des affaires administratives, alors qu’elle avait conçu elle-même des stratagèmes frauduleux, en annonçant faussement une séparation d’avec son mari (jgt, p. 22). Au regard de ce qui précède, le tribunal a motivé sa conviction pour s’écarter des versions soutenues par A.T.________ et par son épouse, de sorte qu’on ne discerne aucune violation du principe de la présomption d’innocence. Il résulte clairement du dossier qu’un compte [...] (IBAN n°  [...]) n’a pas été annoncé aux services sociaux. En effet, contrairement à ce que soutient l’appelant, il ressort du rapport intitulé « analyse justificatifs du 30 avril 2012 » (P. 5/12, annexe 19) que ce compte a été fortuitement découvert dans un autre cas de fraude consistant en la dissimulation de prise d’emploi auprès de la société [...] SA (cf. consid. C.2.1 ci-dessus). Il est ainsi apparu que le compte sur lequel le salaire avait été versé à cette occasion était un compte [...] inconnu des autorités. Par ailleurs, B.T.________ a également affirmé mensongèrement que ce compte était clôturé durant la période d’octobre à novembre 2006 (P. 5/12, annexe 19), dès lors que le compte n’a été fermé que le 1 er novembre 2007, étant précisé qu’un autre compte épargne [...] au moins était toujours actif le 7 mars 2014 (P. 10/1). Partant, la constatation des faits opérée par les premiers juges ne prête pas le flanc à la critique.</w:t>
      </w:r>
    </w:p>
    <w:p>
      <w:r>
        <w:rPr>
          <w:b/>
        </w:rPr>
        <w:t>E. 4.1</w:t>
      </w:r>
    </w:p>
    <w:p>
      <w:r>
        <w:t>L’appelant conteste ensuite le montant retenu par les premiers juges à titre de prestations perçues indûment. Il affirme que ce montant serait de 58'251 fr. 90 et non de 109'422 fr. 15.</w:t>
      </w:r>
    </w:p>
    <w:p>
      <w:r>
        <w:rPr>
          <w:b/>
        </w:rPr>
        <w:t>E. 4.2</w:t>
      </w:r>
    </w:p>
    <w:p>
      <w:r>
        <w:t>L’affirmation de l’appelant est fondée sur la prémisse erronée que les époux [...] auraient de toute manière eu droit au RI, même en prenant en considération les éléments de fortune et les revenus dissimulés. En l’espèce, il est établi par les décomptes produits par la partie plaignante (P. 5/12, P. 9/3 et P. 43/2) que les prestations indûment accordées s’élèvent au total à plus de 150'000 fr. (cf. en particulier P. 43/2, p. 6). Cependant, pour limiter l’enrichissement illégitime aux périodes prises en considération dans l’acte d’accusation, les premiers juges ont réduit ce montant à 109'422 fr. 15 (jgt, p. 24). Ce total correspond à l’addition des montants figurants dans deux tableaux récapitulatifs qui prennent en considération une période allant d’avril 2006 à juin 2013, chacun des tableaux portant sur des mois différents (P. 5/12 annexe A et P. 9/2). Contrairement à ce que soutient l’appelant, le salaire versé par [...] SA pour le mois d’octobre 2006 n’a pas été pris en compte pour les gains dissimulés en décembre 2006, qui s’élèvent à 4'029 fr. 15 (P. 9/2). Les montants versés indûment par les services sociaux ont été calculés pour différentes périodes durant lesquelles A.T.________ et B.T.________ ont réalisé différents revenus, soit comme salariés des sociétés [...] SA, [...] SA ou [...] SA ou en exploitant comme indépendants la société [...] Sàrl ou la société [...], aucun de ces revenus n’ayant été annoncés. Selon les relevés de [...] relatifs aux comptes de la société [...] Sàrl pour la période allant de septembre 2007 à juin 2012, les montants crédités s’élèvent à plus de 800'000 fr. (P. 10/3). Ainsi, l’appelant n’est pas crédible lorsqu’il affirme que l’activité de cette société ne générait pas beaucoup d’entrées et que c’était la raison pour laquelle il ne l’avait pas déclarée (jgt, p. 4). Par ailleurs, et quand bien même ce montant représente le chiffre d’affaires de la société, il est exclu de considérer que les prévenus pouvaient quoi qu’il en soit bénéficier du RI. Partant, s’agissant du montant des prestations perçues indûment, on ne discerne pas non plus de constatation erronée des faits de la part du tribunal.</w:t>
      </w:r>
    </w:p>
    <w:p>
      <w:r>
        <w:rPr>
          <w:b/>
        </w:rPr>
        <w:t>E. 5.1</w:t>
      </w:r>
    </w:p>
    <w:p>
      <w:r>
        <w:t>Dans une succession de moyens mêlant des questions de fait et de droit, l’appelant affirme qu’il aurait, avec son épouse, fait preuve de négligence dans la gestion de leurs affaires, que leurs revenus ne leur auraient permis que de survivre et que leurs sociétés n’auraient rien rapporté. Il conteste en outre avoir utilisé l’argent du RI pour éviter la faillite de l’une de ses sociétés.</w:t>
      </w:r>
    </w:p>
    <w:p>
      <w:r>
        <w:rPr>
          <w:b/>
        </w:rPr>
        <w:t>E. 5.2</w:t>
      </w:r>
    </w:p>
    <w:p>
      <w:r>
        <w:t>En l’espèce, les affirmations générales de l’appelant sont contredites par les éléments factuels retenus par les premiers juges. Compte tenu des sommes créditées sur les comptes occultes de sociétés et des revenus réalisés en tant que salariés, soit plus de 65'000 fr., il est exclu de considérer que A.T.________ et B.T.________ ne disposaient que de moyens leur permettant de survivre. La question d’une éventuelle négligence, à défaut d’intention dolosive, doit quant à elle être examinée avec l’infraction d’escroquerie, contestée par le prévenu concernant les montants crédités sur le compte au [...]. Pour le reste, il est sans incidence sur le sort de la cause de déterminer si l’appelant a utilisé l’argent versé par les services sociaux pour éviter la faillite de l’une ou l’autre de ses sociétés, car ce n’est pas cela qui lui est reproché. Le grief pénal repose sur l’obtention de sommes indues sur la base d’une tromperie, l’usage de cet argent important peu.</w:t>
      </w:r>
    </w:p>
    <w:p>
      <w:r>
        <w:rPr>
          <w:b/>
        </w:rPr>
        <w:t>E. 6</w:t>
      </w:r>
    </w:p>
    <w:p>
      <w:r>
        <w:t>L’appelant prétend encore que le jugement serait insuffisamment motivé, que des pièces n’auraient pas été analysées par le tribunal et que la décision serait ainsi arbitraire.</w:t>
      </w:r>
    </w:p>
    <w:p>
      <w:r>
        <w:rPr>
          <w:b/>
        </w:rPr>
        <w:t>E. 6.1</w:t>
      </w:r>
    </w:p>
    <w:p>
      <w:r>
        <w:t>Selon l’art. 3 al. 2 let. c in fine CPP, les autorités pénales se conforment notamment à la maxime voulant que le droit d’être entendu soit garanti à toutes les personnes touchées par la procédure. Le droit d'être entendu, garanti à l'art. 29 al. 2 Cst., impose au juge l'obligation de motiver ses décisions afin que le justiciable puisse les comprendre et exercer ses droits de recours à bon escient (TF 6B_908/2008 du 5 février 2009 consid. 1.1 et les arrêts cités). L’autorité de recours peut également, grâce à la motivation, exercer son contrôle (Moreillon/Parein-Reymond, Petit commentaire, Code de procédure pénale, 2 e éd., Bâle 2016, n. 2 ad art. 82 CPP).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6B_908/2008 du 5 février 2009 consid. 1.1 et les arrêts cités). Il y a cependant violation du droit d'être entendu si l'autorité ne satisfait pas à son devoir minimum d'examiner et de traiter les problèmes pertinents (ATF 130 II 530 consid. 4.3 ; ATF 129 I 232 consid. 3.2 ; ATF 122 IV 8 consid. 2c). Le juge doit indiquer les faits desquels découle la preuve de l'infraction, puis qualifier ces faits par rapport à la loi dont il fait application (Piquerez/Macaluso, Procédure pénale suisse, 3 e éd., Genève/Zurich/Bâle 2011, nn. 1842 et 1843). Pour déterminer l’étendue de la motivation, il ne convient pas de prendre en considération les seuls passages consacrés au verdict de culpabilité, mais le jugement dans son entier (TF 6P.49/2003 du 30 mai 2003 consid. 2 et les références citées).</w:t>
      </w:r>
    </w:p>
    <w:p>
      <w:r>
        <w:rPr>
          <w:b/>
        </w:rPr>
        <w:t>E. 6.2</w:t>
      </w:r>
    </w:p>
    <w:p>
      <w:r>
        <w:t>Comme on l’a vu, les premiers juges ont expliqué pourquoi ils n’accordaient pas crédit aux explications de A.T.________ concernant la prétendue ignorance des faits par son épouse, de sorte qu’on ne discerne à cet égard aucune violation du droit d’être entendu. C’est également en vain que l’appelant se plaint du fait que son propre décompte n’aurait pas été pris en considération par les premiers juges, dès lors que, contrairement à ce qu’il soutient, les comptes bancaires de la société [...] Sàrl figurent au dossier et font état de montants crédités importants (cf. P.10/3), alors que ni l’existence de comptes et encore moins les bénéfices effectivement réalisés par celle-ci n’ont été annoncés par l’intéressé conformément à ses obligations. Dans ces conditions, les premiers juges n’avaient pas besoin de se prononcer sur le résultat des comptes Pertes et Profits de la société [...] Sàrl (P. 56), lesquels ont au demeurant été produits tardivement et sous une forme sommaire, pour seulement deux exercices comptables, de sorte qu’ils sont dépourvus de toute valeur probante. De toute manière, la dissimulation d’éléments de fortune permettant de percevoir des prestations sociales étant prohibée, il importe en l’espèce peu de connaître le bénéfice d’exploitation exact de la société.</w:t>
      </w:r>
    </w:p>
    <w:p>
      <w:r>
        <w:rPr>
          <w:b/>
        </w:rPr>
        <w:t>E. 7</w:t>
      </w:r>
    </w:p>
    <w:p>
      <w:r>
        <w:t>L’appelant conteste s’être rendu coupable d’escroquerie concernant les montants crédités sur le compte du [...].</w:t>
      </w:r>
    </w:p>
    <w:p>
      <w:r>
        <w:rPr>
          <w:b/>
        </w:rPr>
        <w:t>E. 7.1</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En matière d'aide sociale, l'astuce est admise lorsque le bénéficiaire ne déclare pas un gain ou un revenu et que l'assistant social n'est pas en mesure de vérifier l'obtention de celui-ci dans les comptes ou les documents en sa possession (ATF 127 IV 163 consid. 2b ; TF 6B_409/2007 du 9 octobre 2007 consid. 2.1).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6B_1054/2010 du 16 juin 2011 consid. 2.2.2).</w:t>
      </w:r>
    </w:p>
    <w:p>
      <w:r>
        <w:rPr>
          <w:b/>
        </w:rPr>
        <w:t>E. 7.2</w:t>
      </w:r>
    </w:p>
    <w:p>
      <w:r>
        <w:t>En l’espèce, comme on l’a vu ci-dessus (cf. consid. 3.2), A.T.________ a, quoi qu’il en dise, dissimulé à tout le moins un compte [...] aux autorités (P. 4 ; P. 5/12, annexe 19), sur le total des cinq comptes qui paraissent avoir été ouverts auprès de cette banque (cf. P. 10/2 et P. 10/3) si l’on tient compte de ceux relatifs à [...] Sàrl. En outre, le compte dissimulé n’a été clôturé qu’en novembre 2007, de sorte que l’argument de l’appelant selon lequel il n’y aurait pas d’escroquerie pour ce motif pour la période d’avril 2006 à octobre 2007 ne convainc pas. De surcroît, les époux ont également dissimulé leur qualité d’organe de société aux services sociaux. Il en résulte que ceux-ci ne pouvaient pas, sauf à mener une véritable enquête, découvrir les revenus d’indépendants réalisés par l’appelant et son épouse, qui ne les déclaraient d’ailleurs pas pour le règlement des cotisations sociales. Enfin, il y a lieu de relever que ce n’est que l’enquête administrative, complétée par l’instruction pénale, qui a permis de découvrir l’ampleur des gains dissimulés aux autorités. Pour le reste, l’appelant ne saurait prétendre, ce qu’il ne fait au demeurant pas, qu’il ignorait les règles et les exigences posées par la loi, lesquelles ont d’ailleurs été expressément rappelées par la partie plaignante dans le cadre des formulaires de déclaration de revenus mensuels notamment, en matière de communication de tous les éléments de fortune et de revenus en cas de demande de prestations sociales. En effet, l’appelant a bénéficié de prestations sociales par intermittence depuis 1998 et a déjà été condamné pour des violations aux dispositions légales relevant de l’assurance-chômage. En outre, il a même signé une attestation à l’attention du [...], annexée à sa déclaration de revenus de janvier 2007, dans laquelle il s’était expressément engagé à signaler tout changement pouvant survenir dans sa situation financière (P. 5/11). Ainsi, les éléments objectifs et subjectif de l’infraction d’escroquerie sont réalisés.</w:t>
      </w:r>
    </w:p>
    <w:p>
      <w:r>
        <w:rPr>
          <w:b/>
        </w:rPr>
        <w:t>E. 8</w:t>
      </w:r>
    </w:p>
    <w:p>
      <w:r>
        <w:t>L’appelant reproche aux premiers juges d’avoir retenu la circonstance aggravante du métier.</w:t>
      </w:r>
    </w:p>
    <w:p>
      <w:r>
        <w:rPr>
          <w:b/>
        </w:rPr>
        <w:t>E. 8.1</w:t>
      </w:r>
    </w:p>
    <w:p>
      <w:r>
        <w:t>Selon l’art. 146 al. 2 CP, si l’auteur fait métier de l’escroquerie, la peine sera une peine privative de liberté de dix ans au plus ou une peine pécuniaire de 90 jours-amende au moins.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w:t>
      </w:r>
    </w:p>
    <w:p>
      <w:r>
        <w:rPr>
          <w:b/>
        </w:rPr>
        <w:t>E. 8.2</w:t>
      </w:r>
    </w:p>
    <w:p>
      <w:r>
        <w:t>Les époux [...] ont obtenu, en près de six ans, des prestations indues pour un montant dépassant les 100'000 fr., ce qui représente une contribution qui doit incontestablement être qualifiée de notable à leur train de vie, lequel serait par ailleurs modeste, comme ils l’ont fréquemment rappelé. Il est également incontestable que les prévenus ont agi de manière régulière et à réitérée reprises en usant de divers subterfuges, que ce soit notamment en dissimulant des revenus ou éléments de fortune ou en élaborant de faux contrats de travail, à chaque fois que l’occasion se présentait. Ainsi, il ne fait nul doute que la circonstance aggravante du métier est en l’espèce réalisée.</w:t>
      </w:r>
    </w:p>
    <w:p>
      <w:r>
        <w:rPr>
          <w:b/>
        </w:rPr>
        <w:t>E. 9</w:t>
      </w:r>
    </w:p>
    <w:p>
      <w:r>
        <w:t>L’appelant fait valoir que la peine qui lui a été infligée serait trop sévère. Il soutient en substance qu’il n’aurait pas agi par cupidité, qu’il n’aurait pas récidivé en cours d’enquête, qu’il devrait bénéficier, à décharge, de l’écoulement du temps et du fait qu’il aurait remboursé, avec son épouse, une partie des sommes reçues indûment. Il sollicite en outre l’octroi du sursis.</w:t>
      </w:r>
    </w:p>
    <w:p>
      <w:r>
        <w:rPr>
          <w:b/>
        </w:rPr>
        <w:t>E. 9.1.1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9.1.2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Petit commentaire du Code pénal, Bâle 2012, n. 7a ad art. 43 CP ; TF 6B_492/2008 du 19 mai 2009, non publié aux ATF 135 IV 152, consid. 3.1). Si le juge suspend totalement ou partiellement l’exécution de la peine, il impartit au condamné un délai d’épreuve de deux à cinq ans (art. 44 al. 1 CP). L’ampleur du délai d’épreuve dépend de l’intensité du risque de récidive (Dupuis et al., op. cit., n. 2 ad art. 44 CP).</w:t>
      </w:r>
    </w:p>
    <w:p>
      <w:r>
        <w:rPr>
          <w:b/>
        </w:rPr>
        <w:t>E. 9.2</w:t>
      </w:r>
    </w:p>
    <w:p>
      <w:r>
        <w:t>A.T.________ s’est rendu coupable d’escroquerie par métier et de faux dans les titres. Avec les premiers juges, il faut admettre que la culpabilité de l’appelant est lourde. Celui-ci a érigé en mode de vie l’escroquerie à l’assurance sociale. Le terme de cupidité est adéquat dans la mesure où l’appelant disposait à certaines périodes de revenus confortables résultant de son activité indépendante. A cet égard, il ne peut évidemment pas être cru lorsqu’il soutient, s’agissant de sa société [...] Sàrl, qu’un chiffre d’affaires de plusieurs centaines de milliers de francs ne lui aurait procuré qu’un bénéfice de quelques milliers de francs. Par ailleurs, contrairement à ce qu’il prétend, A.T.________ a bel et bien réitéré ses agissements criminels après l’ouverture d’une première enquête, puisqu’il s’est également rendu coupable d’escroquerie pour la période allant jusqu’à mars 2014 après avoir fait l’objet d’une décision de restitution du RI perçu indûment le 9 janvier 2014 (P. 9/1). De toute manière, cette circonstance n’a que peu d’importance, dès lors que ce sont surtout les antécédents qui doivent être pris en considération dans les éléments à charge. Enfin, le concours d’infractions doit également être pris en compte. L’écoulement du temps ne saurait quant à lui être pris en considération comme élément à décharge, dès lors que l’on se trouve, en l’espèce, très loin de l’acquisition de la prescription (art. 48 let. e CP). Pour le reste, le remboursement de A.T.________ au [...] apparaît plus symbolique que méritoire, compte tenu de la somme totale des prestations perçues indument. Au vu de la culpabilité de l’appelant, notamment du montant total de l’enrichissement illégitime et du fait que celui-ci s’est étalé sur une période de près de six ans, des antécédents de l’intéressé et de sa situation personnelle, il y a lieu de constater que la peine privative de deux ans ferme qui lui a été infligée par les premiers juges est quelque peu excessive. Ainsi, la Cour de céans réduira celle-ci et prononcera une peine privative de liberté de 20 mois, qui est propre à réprimer de manière appropriée l’activité délictueuse et criminelle de l’appelant. En outre, le jour de détention préventive subi sera déduit de cette peine. Par ailleurs, malgré les antécédents de l’appelant, la Cour de céans veut croire que l’exécution d’une partie de la peine privative de liberté sera suffisante pour le détourner de la commission de nouvelles infractions. Le risque de récidive paraît en effet pouvoir être réduit par l’effet d’admonestation découlant de l’exécution partielle de la peine. Dans ces conditions, le pronostic quant au comportement futur de l’appelant est mitigé, de sorte qu’il sera mis au bénéfice d’un sursis partiel, portant sur la moitié de la peine privative de liberté prononcée. Le délai d’épreuve sera fixé à cinq ans.</w:t>
      </w:r>
    </w:p>
    <w:p>
      <w:r>
        <w:rPr>
          <w:b/>
        </w:rPr>
        <w:t>E. 10</w:t>
      </w:r>
    </w:p>
    <w:p>
      <w:r>
        <w:t>Enfin, comme on l’a vu ci-dessus (cf. consid. 4), le montant des prestations perçues indument de 109'422 fr. 15 a été calculé correctement par les premiers juges, de sorte que le moyen de l’appelant consistant à contester le montant des conclusions civiles alloué à la partie plaignante doit être rejeté. II. Appel de B.T.________</w:t>
      </w:r>
    </w:p>
    <w:p>
      <w:r>
        <w:rPr>
          <w:b/>
        </w:rPr>
        <w:t>E. 11</w:t>
      </w:r>
    </w:p>
    <w:p>
      <w:r>
        <w:t>L’appelante invoque en premier lieu une constatation erronée des faits et une violation du principe de la présomption d’innocence. Elle soutient notamment qu’elle ignorait les démarches entreprises par son époux, qu’elle aurait signé les formulaires de demande de RI sans les lire et qu’elle n’aurait fait qu’obéir à l’assistante sociale lorsqu’elle a déposé une requête de mesures protectrices de l’union conjugale.</w:t>
      </w:r>
    </w:p>
    <w:p>
      <w:r>
        <w:rPr>
          <w:b/>
        </w:rPr>
        <w:t>E. 11.1</w:t>
      </w:r>
    </w:p>
    <w:p>
      <w:r>
        <w:t>Les dispositions légales régissant les principes soulevés par l’appelante ont été évoqués ci-dessus (cf. consid. 3.1).</w:t>
      </w:r>
    </w:p>
    <w:p>
      <w:r>
        <w:rPr>
          <w:b/>
        </w:rPr>
        <w:t>E. 11.2</w:t>
      </w:r>
    </w:p>
    <w:p>
      <w:r>
        <w:t>En l’espèce, la version de l’appelante ne résiste pas à l’examen. D’abord, elle a été rendue attentive à plusieurs reprises à son obligation de déclarer toute ressource financière et aux conséquences d’une telle violation, de sorte qu’elle ne peut aujourd’hui prétendre avoir signé n’importe quel document sans l’avoir lu au préalable pour s’exonérer de toute responsabilité. Par ailleurs, comme l’ont retenu à juste titre les premiers juges, elle a montré qu’elle était capable de fraudes à l’assurance sociale en agissant seule, en se rendant par exemple seule aux rendez-vous des services sociaux lorsque son époux était absent (cf. jgt, p. 9). Ainsi, sa version exculpatoire n’est, là non plus, pas crédible. B.T.________ a en outre déposé une requête de mesures protectrice de l’union conjugale, alors qu’elle n’avait aucune intention de se séparer de son époux, requête qui n’a comporté aucune suite de sa part. Le fait qu’une assistante sociale lui ait expliqué qu’étant mariée, elle ne pouvait obtenir le RI seule ne change rien à cette appréciation, dès lors qu’il est évident que l’assistante sociale ne lui a pas conseillé d’introduire une procédure fictive de séparation pour se voir octroyer des prestations sociales. Les premiers juges se sont fondés sur des éléments suffisants pour retenir une coaction de l’appelante dans la commission des infractions. Il est en effet évident que, selon le cours ordinaire des choses, les époux [...] ont traité ensemble les questions financières d’aide sociale, dès lors que ces questions concernaient les moyens d’existence du couple et de leurs enfants et qu’ils ont signé ensemble les requêtes de subside (cf. notamment P. 5/8 à P. 5/11). On peut par ailleurs observer que l’extrait du registre du commerce concernant la société [...] Sàrl fait apparaître l’appelante en qualité d’associée-gérante, avec signature individuelle, de cette société et A.T.________ comme liquidateur de celle-ci (P. 5/12, annexe 10, et P. 20). Le fait que l’appelante apparaisse comme organe d’une société exploitée par le prénommé, et dont l’existence a été dissimulée aux services sociaux, est une preuve supplémentaire de l’implication de l’épouse dans les procédés illicites de son mari. Au regard des éléments qui précèdent, B.T.________ a été condamnée sur la base d’un état de fait exact et sans que le principe de la présomption d’innocence n’ait été violé.</w:t>
      </w:r>
    </w:p>
    <w:p>
      <w:r>
        <w:rPr>
          <w:b/>
        </w:rPr>
        <w:t>E. 12</w:t>
      </w:r>
    </w:p>
    <w:p>
      <w:r>
        <w:t>L’appelante conteste s’être rendue coupable d’escroquerie par métier et de faux dans les titres. Elle soutient pour l’essentiel que l’élément subjectif intentionnel ferait défaut, expliquant ne pas avoir été consciente de commettre des infractions et de ne pas s’être accommodée du résultat des infractions considérées.</w:t>
      </w:r>
    </w:p>
    <w:p>
      <w:r>
        <w:rPr>
          <w:b/>
        </w:rPr>
        <w:t>E. 12.1.1</w:t>
      </w:r>
    </w:p>
    <w:p>
      <w:r>
        <w:t>Les principes régissant l’infraction d’escroquerie ont été rappelés plus haut (cf. consid. 7.1). 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(TF 6B_447/2014 du 30 octobre 2014 consid. 1.2.1).</w:t>
      </w:r>
    </w:p>
    <w:p>
      <w:r>
        <w:rPr>
          <w:b/>
        </w:rPr>
        <w:t>E. 12.1.2</w:t>
      </w:r>
    </w:p>
    <w:p>
      <w:r>
        <w:t>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La doctrine et la jurisprudence distinguent le dessein (ou dol direct de premier degré), le dol simple (ou dol direct de deuxième degré) et le dol éventuel. Ces trois formes correspondent à un comportement intentionnel au sens de l’art. 12 al. 2 CP. Il y a dessein lorsque l’auteur prévoit les conséquences de son acte et cherche précisément à les produire. Le dol simple qualifie la situation où l’auteur ne s’est pas fixé pour but de commettre l’infraction et considère le résultat comme indifférent ou indésirable, mais s’en accommode car il s’agit du moyen de parvenir au but recherché. Enfin, le dol éventuel, qui correspond à l’hypothèse visée à l’art. 12 al. 2 CP, 2 e phrase,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10 à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TF 6B_718/2015 du 14 avril 2016 consid. 2 et les références citées ; cf. ég. Dupuis et al., op. cit., n. 19 à 21 ad art. 111 CP).</w:t>
      </w:r>
    </w:p>
    <w:p>
      <w:r>
        <w:rPr>
          <w:b/>
        </w:rPr>
        <w:t>E. 12.2</w:t>
      </w:r>
    </w:p>
    <w:p>
      <w:r>
        <w:t>En l’espèce, la version de l’appelante sur sa connaissance des faits et de l’enrichissement procuré par les démarches faites auprès des services sociaux ne peut, comme on l’a vu, pas être retenue. En effet, B.T.________ était inscrite au registre du commerce en qualité d’associée-gérante de la société [...] Sàrl, avec, qui plus est, signature individuelle. Par ailleurs, elle a personnellement signé les formulaires de demande de RI et s’est rendue seule aux rendez-vous des services sociaux lorsque son époux était absent. Elle a même introduit une requête fictive de mesures protectrices de l’union conjugale dans le but de pouvoir continuer à percevoir le RI. En outre, elle a indiqué n’avoir pas déclaré au [...] les revenus qu’elle avait perçus de son activité au kiosque [...] (jgt, p. 8). Dans ces circonstances, il faut admettre que B.T.________ n’a, dans le meilleur des cas, rien ignoré des procédés délictueux de son époux, de sorte qu’elle était consciente d’être, elle aussi, au bénéfice de prestations sociales auxquelles elle n’avait pas droit. Elle s’est ainsi parfaitement accommodée du résultat produit par son comportement et celui de son époux, agissant ainsi à tout le moins par dol éventuel. Enfin, s’agissant de l’infraction de faux dans les titres, on relèvera qu’il importe peu que l’appelante n’ait pas personnellement participé à la confection des faux contrats et des faux certificats de salaire destinés à tromper les autorités, dans la mesure où elle ne pouvait ignorer la fausseté de ces documents et où l’art. 251 CP réprime également l’usage de tels faux. Partant, c’est à juste titre que le tribunal a retenu que l’appelante s’est rendue coupable d’escroquerie par métier et de faux dans les titres.</w:t>
      </w:r>
    </w:p>
    <w:p>
      <w:r>
        <w:rPr>
          <w:b/>
        </w:rPr>
        <w:t>E. 13</w:t>
      </w:r>
    </w:p>
    <w:p>
      <w:r>
        <w:t>L’appelante conteste la peine qui lui a été infligée, en faisant valoir qu’elle n’aurait pas agi par cupidité, qu’elle n’aurait pas récidivé en cours d’enquête et qu’elle n’émargerait plus aux services sociaux depuis l’année 2014.</w:t>
      </w:r>
    </w:p>
    <w:p>
      <w:r>
        <w:rPr>
          <w:b/>
        </w:rPr>
        <w:t>E. 13.1</w:t>
      </w:r>
    </w:p>
    <w:p>
      <w:r>
        <w:t>Le principes régissant la fixation de la peine et l’octroi du sursis ont déjà été mentionnés ci-dessus (cf. consid. 9.1).</w:t>
      </w:r>
    </w:p>
    <w:p>
      <w:r>
        <w:rPr>
          <w:b/>
        </w:rPr>
        <w:t>E. 13.2</w:t>
      </w:r>
    </w:p>
    <w:p>
      <w:r>
        <w:t>La culpabilité de B.T.________ est également lourde. Avec le concours de son époux, elle a régulièrement et sur une longue période trompé les services sociaux pour obtenir des prestations indues. Il n’est pas erroné de retenir qu’elle a agi, à l’instar de son mari, par cupidité, dans la mesure où leur situation financière ne saurait être aussi modeste qu’ils le prétendent. En particulier, le comportement de l’appelante, qui a introduit une procédure judiciaire fictive dans le but de percevoir des prestations sociales, est fourbe, ce d’autant qu’elle en a même rejeté la responsabilité sur une assistante sociale. Pour le reste, dès lors que l’appelante fait valoir les mêmes moyens que ceux de A.T.________, on peut renvoyer mutatis mutandis à ce qui a été développé concernant le prénommé (cf. consid. 9.2 ci-dessus). A décharge, on retiendra toutefois que, malgré les décisions administratives rendues à son encontre, l’appelante n’a pas d’antécédents pénaux en matière d’aide sociale. En outre, comme l’a retenu le tribunal, en raison d’une intensité délictuelle moins forte et d’une participation moins importante, la sanction qui doit être infligée à B.T.________ peut être moins élevée que celle prononcée à l’encontre de son époux. Ainsi, il convient de réduire la peine privative de liberté de 14 mois et d’infliger une peine privative de liberté de 12 mois à l’appelante. Cette peine sera assortie du sursis, dès lors que le pronostic la concernant n’est pas défavorable, compte tenu de sa situation personnelle et familiale. Le délai d’épreuve sera toutefois, comme pour son époux, égal au maximum légal en raison de la longue durée de l’activité délictueuse et de la faible prise de conscience.</w:t>
      </w:r>
    </w:p>
    <w:p>
      <w:r>
        <w:rPr>
          <w:b/>
        </w:rPr>
        <w:t>E. 14</w:t>
      </w:r>
    </w:p>
    <w:p>
      <w:r>
        <w:t>On ne reviendra pas sur le montant alloué à titre de conclusions civiles à la partie plaignante, dès lors que cet élément a déjà été discuté (cf. consid. 4 et 10). Le moyen y relatif ne peut qu’être rejeté. III. Conclusions, frais et indemnités d’office</w:t>
      </w:r>
    </w:p>
    <w:p>
      <w:r>
        <w:rPr>
          <w:b/>
        </w:rPr>
        <w:t>E. 15</w:t>
      </w:r>
    </w:p>
    <w:p>
      <w:r>
        <w:t>En définitive, les appels interjetés par A.T.________ et B.T.________ doivent être partiellement admis et le jugement entrepris réformé dans le sens des considérants qui précèdent. Vu le sort des appels respectifs, l’émolument d’arrêt, par 3’150 fr. (art. 21 al. 1 et 2 TFIP [Tarif des frais de procédure et indemnités en matière pénale du 28 septembre 2010 ; RSV 312.03.1]), sera mis à raison de deux cinquièmes, soit par 1'260 fr., à la charge de A.T.________ et à raison d’un cinquième, soit par 630 fr., à la charge de B.T.________, le solde étant laissé à la charge de l’Etat. Le défenseur d’office de A.T.________ a déposé une liste d’opérations faisant état de 19 heures et 35 minutes d’avocat breveté et de 2 heures et 30 minutes d’avocat-stagiaire. Le montant annoncé pour l’avocat breveté est excessif. En effet, le défenseur d’office était déjà en charge du dossier devant l’autorité de première instance, de sorte qu’il connaissait parfaitement le dossier. Ainsi, les 3 heures et 45 minutes consacrées à la révision du dossier doivent être supprimées. En outre, il ne sera tenu compte que de 30 minutes pour les opérations futures, au lieu d’une heure. Par ailleurs, une heure de temps consacré par l’avocat-stagiaire aux recherches juridiques doit être retranchée, puisqu’il a également fait état d’une heure pour faire une note juridique. Compte tenu de ce qui précède, il sera retenu 16 heures et 30 minutes d’avocat breveté (16,5 x 180 fr.), soit 2'970 fr., une heure et 30 minutes d’avocat-stagiaire (1,5 x 110 fr.), soit 165 fr., une vacation à 120 fr. et des débours pour un forfait de 50 francs. Par conséquent, une indemnité pour la procédure d’appel d’un montant de 3'305 fr., plus la TVA, par 264 fr. 40, soit un montant total de 3'569 fr. 40, sera allouée à Me Lise-Marie Gonzalez Pennec. Cette indemnité sera mise pour trois cinquièmes, soit par 2'141 fr. 65, à la charge de A.T.________, qui succombe partiellement sur son appel, le solde étant laissé à la charge de l’Etat. Selon la liste d’opérations produite par le défenseur d’office de B.T.________, et dont il n’y a pas lieu de s’écarter, une indemnité pour la procédure d’appel d’un montant de 2'905 fr. 20, TVA et débours inclus, sera allouée à Me Stéphanie Cacciatore. Elle sera mise pour trois cinquièmes, soit par 1'743 fr. 10, à la charge de l’appelante, qui succombe partiellement sur son appel, le solde étant laissé à la charge de l’Etat. A.T.________ et B.T.________ ne seront tenus de rembourser à l’Etat la part mise à leur charge du montant des indemnités en faveur de leur défenseur d’office respectif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