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97 vom 16. März 2016</w:t>
      </w:r>
    </w:p>
    <w:p>
      <w:r>
        <w:t>VD Tribunal cantonal, 2016-03-16, FR</w:t>
      </w:r>
    </w:p>
    <w:p>
      <w:r>
        <w:rPr>
          <w:b/>
        </w:rPr>
        <w:t xml:space="preserve">Quelle: </w:t>
      </w:r>
      <w:r>
        <w:t>https://mcp.opencaselaw.ch/entscheid/vd_findinfo_Jug___2016___97</w:t>
      </w:r>
    </w:p>
    <w:p>
      <w:r>
        <w:t>FR: VD_FINDINFO Jug / 2016 / 97 du 16 mars 2016</w:t>
      </w:r>
    </w:p>
    <w:p>
      <w:r>
        <w:t>IT: VD_FINDINFO Jug / 2016 / 97 del 16 marzo 2016</w:t>
      </w:r>
    </w:p>
    <w:p>
      <w:pPr>
        <w:pStyle w:val="Heading2"/>
      </w:pPr>
      <w:r>
        <w:t>Regeste</w:t>
      </w:r>
    </w:p>
    <w:p>
      <w:r>
        <w:t>REPENTIR SINCÈRE | 48 let. d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w:t>
      </w:r>
    </w:p>
    <w:p>
      <w:r>
        <w:t>En l’espèce, la seule question litigieuse est la quotité de la peine. L’appelant fait grief au tribunal de n’avoir retenu son repentir sincère au sens de l’art. 48 let. d CP que d’une manière insuffisante.</w:t>
      </w:r>
    </w:p>
    <w:p>
      <w:r>
        <w:rPr>
          <w:b/>
        </w:rPr>
        <w:t>E. 4.1</w:t>
      </w:r>
    </w:p>
    <w:p>
      <w:r>
        <w:t>A teneur de cette disposition,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TF arrêt 6B_532/2012 du 8 avril 2013 consid. 5). Le seul fait qu'un délinquant a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(ATF 117 IV 112 consid. 1 p. 113 s.; TF arrêt 6B_532/2012 du 8 avril 2013 consid. 5).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w:t>
      </w:r>
    </w:p>
    <w:p>
      <w:r>
        <w:rPr>
          <w:b/>
        </w:rPr>
        <w:t>E. 4.2</w:t>
      </w:r>
    </w:p>
    <w:p>
      <w:r>
        <w:t>La peine de cinq ans prononcée par les premiers juges est une peine d’ensemble, fixée selon l’art. 89 al. 6 CP. Elle comprend d’abord la révocation d’une libération conditionnelle accordée le 22 mai 2013 par le juge d’application des peines et portant sur un an, neuf mois et 28 jours, soit sur 21 mois et 28 jours. Elle englobe ensuite une peine additionnelle de trois ans, deux mois et deux jours, soit de 38 mois et deux jours. C’est uniquement cette dernière part de peine qui peut être réduite en application de l’art. 48 let. d CP. Il reste à déterminer si elle doit l’être davantage que ne l’ont décidé les premiers juges et, dans l’affirmative, dans quelle mesure.</w:t>
      </w:r>
    </w:p>
    <w:p>
      <w:r>
        <w:rPr>
          <w:b/>
        </w:rPr>
        <w:t>E. 4.3</w:t>
      </w:r>
    </w:p>
    <w:p>
      <w:r>
        <w:t>L’appelant a, pour lui, sa dénonciation spontanée du 31 mars 2015, laquelle a été à l’origine d’une incarcération de deux jours. Il a contre lui son comportement postérieur. En effet, commettre une filouterie d’auberge après avoir festoyé dans un cabaret témoigne d’une attitude qui amenuise l’ampleur du repentir en excluant un changement complet de comportement; de même, l’appelant n’a pas remis à la police l’arme, certes factice, dont il avait fait usage lors du brigandage commis à Crisser le 31 août 2009. Le brigandage incriminé dans la présente procédure, remontant au 20 septembre 2013, a été commis relativement peu de temps après la libération conditionnelle du prévenu, le 22 mai 2013. Cela étant, l’appelant ne s’est pas dénoncé pour des raisons stratégiques. En effet, il n’existait alors aucun indice matériel susceptible de le confondre. De plus, il lui suffisait de demeurer dans son pays pour éviter l’extradition en Suisse. En outre, il a, selon ses déclarations, trouvé du travail comme chauffeur en septembre 2013 et a conservé cette activité professionnelle jusqu’à son interpellation dans la présente procédure Ces éléments objectifs témoignent d’une cassure d’avec son passé délinquant, ce d’autant que l’appelant n’a plus attiré défavorablement l’attention de la justice, en Suisse et à l’étranger, entre le 20 septembre 2013 et son retour illicite dans notre pays le 23 mars 2015. Procédant à sa propre appréciation des faits, la Cour de céans considère qu’il y a lieu de tenir compte, dans une plus large mesure que ne l’ont retenu les premiers juges, du repentir sincère de l’appelant. Il s’agit d’un facteur significatif sous l’angle de l’art. 48 let. d CP qui doit conduire à une réduction du quantum de la peine. A juste titre, les autres éléments concourant à la quotité de la peine ne sont pas contestés. Une peine additionnelle de 26 mois est adéquate, ce qui aboutit à une peine d’ensemble de quatre ans selon l’art. 89 al. 6 CP. La détention avant jugement subie depuis le jugement de première instance sera déduite (art. 51 CP). Le maintien en détention du prévenu à titre de sûreté sera ordonné pour garantir l'exécution de la peine (cf. l’art. 221 al. 1 let. a CPP).</w:t>
      </w:r>
    </w:p>
    <w:p>
      <w:r>
        <w:rPr>
          <w:b/>
        </w:rPr>
        <w:t>E. 5</w:t>
      </w:r>
    </w:p>
    <w:p>
      <w:r>
        <w:t>Vu l'issue de la cause déférée en appel, l'émolument d’appel (art. 21 al. 1 et 2 TFIP [Tarif des frais de procédure et indemnités en matière pénale du 28 septembre 2010; RSV 312.03.1]) sera mis à la charge de l’appelant à raison d’un tiers, le solde étant laissé à la charge de l’Etat (art. 423 al. 1 et 428 al. 1 CPP). Les frais d’appel comprennent l’indemnité en faveur du défenseur d’office du prévenu (art. 422 al. 1 et al. 2 let. a CPP). Celle-ci doit être arrêtée à raison d’une durée d’activité d’avocat de dix heures, y compris l’audience d’appel, à 180 fr. l’heure, en plus de 360 fr. pour trois vacations à 120 fr. chacune et 15 fr. d’autres débours, soit 2'175 fr., ainsi que la TVA, soit à 2'349 francs. L’appelant ne sera tenu de rembourser la part de l’indemnité en faveur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