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90 vom 11. Januar 2016</w:t>
      </w:r>
    </w:p>
    <w:p>
      <w:r>
        <w:t>VD Tribunal cantonal, 2016-01-11, FR</w:t>
      </w:r>
    </w:p>
    <w:p>
      <w:r>
        <w:rPr>
          <w:b/>
        </w:rPr>
        <w:t xml:space="preserve">Quelle: </w:t>
      </w:r>
      <w:r>
        <w:t>https://mcp.opencaselaw.ch/entscheid/vd_findinfo_Jug___2016___90</w:t>
      </w:r>
    </w:p>
    <w:p>
      <w:r>
        <w:t>FR: VD_FINDINFO Jug / 2016 / 90 du 11 janvier 2016</w:t>
      </w:r>
    </w:p>
    <w:p>
      <w:r>
        <w:t>IT: VD_FINDINFO Jug / 2016 / 90 del 11 gennaio 2016</w:t>
      </w:r>
    </w:p>
    <w:p>
      <w:pPr>
        <w:pStyle w:val="Heading2"/>
      </w:pPr>
      <w:r>
        <w:t>Regeste</w:t>
      </w:r>
    </w:p>
    <w:p>
      <w:r>
        <w:t>CIRCULATION ROUTIÈRE{DROIT DE LA CIRCULATION ROUTIÈRE} | 91 al. 1 LCR, 10 CPP (CH)</w:t>
      </w:r>
    </w:p>
    <w:p>
      <w:pPr>
        <w:pStyle w:val="Heading2"/>
      </w:pPr>
      <w:r>
        <w:t>Erwägungen</w:t>
      </w:r>
    </w:p>
    <w:p>
      <w:r>
        <w:rPr>
          <w:b/>
        </w:rPr>
        <w:t>E. 1.1</w:t>
      </w:r>
    </w:p>
    <w:p>
      <w:r>
        <w:t>Interjeté dans les formes et délais légaux (art. 399 CPP) contre le jugement du tribunal de première instance ayant clos la procédure (art. 398 al. 1 CPP), l'appel de B.________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w:t>
      </w:r>
    </w:p>
    <w:p>
      <w:r>
        <w:rPr>
          <w:b/>
        </w:rPr>
        <w:t>E. 4</w:t>
      </w:r>
    </w:p>
    <w:p>
      <w:r>
        <w:t>CPP correspondant à celle de l'art. 97 al. 1 LTF. En revanche, la juridiction d'appel peut revoir librement le droit (cf. TF 6B_1247/2013 du 13 mars 2014 consid. 1.2 et les réf. citées). 2. L'appelant soutient que le contenu du rapport de police serait inexact s'agissant du refus de priorité et que c'est à tort que le premier juge s'est fondé sur ses propres déclarations pour retenir qu'il avait utilisé son téléphone en conduisant. Il invoque également une violation de l'art. 158 CPP. 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2.2 Selon l’art. 158 al. 1 CPP, le prévenu doit en particulier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(art. 158 al. 2 CPP). 2.3 En l'espèce, les faits retenus par le tribunal de police sont conformes aux éléments du dossier. Ils correspondent en particulier au rapport de police du 1 er juin 2015, lequel mentionne que l'appelant, poli et courtois, n'a pas contesté avoir refusé la priorité de droite au véhicule de police et a même indiqué qu'il avait été inattentif car il utilisait son téléphone portable (cf. P. 4). Il ne saurait ainsi être arbitraire de se fonder sur les propres déclarations de l'appelant pour retenir que celui-ci a fait usage de son téléphone parce qu'il prétend « avoir répondu n'importe quoi aux policiers » (jgt., p. 3). L'état de fait retenu par le premier juge échappe dès lors à tout arbitraire. Par ailleurs, l'appelant se méprend sur la portée de l'art. 158 CPP, puisque l'obligation d'informer ne vaut que pour les interrogatoires durant lesquels les questions et les réponses sont consignées dans un procès-verbal ; elle ne s'applique pas aux questions posées de manière informelle par la police qui tente de se faire une idée du cas (cf. Moreillon/Parein-Reymond, Petit commentaire du Code de procédure pénale, Bâle 2013, n. 6 ad art. 158 CPP et les références citées). Partant, l'appelant, qui ne conteste pas les dispositions légales de droit matériel appliquées en tant que telles, doit être reconnu coupable de violation simple des règles de la circulation routière pour ne pas avoir accordé la priorité au véhicule venant de sa droite et pour avoir eu une occupation accessoire en conduisant. 3. Il résulte de ce qui précède que l’appel de B.________ doit être rejeté et le jugement attaqué intégralement confirmé. Vu l'issue de la cause, les frais d’appel, constitués du seul émolument de jugement, par 540 fr. (art. 21 al. 1 TFIP [Tarif des frais de procédure et indemnités en matière pénale du 28 septembre 2010; RSV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