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85 vom 2. November 2015</w:t>
      </w:r>
    </w:p>
    <w:p>
      <w:r>
        <w:t>VD Tribunal cantonal, 2015-11-02, FR</w:t>
      </w:r>
    </w:p>
    <w:p>
      <w:r>
        <w:rPr>
          <w:b/>
        </w:rPr>
        <w:t xml:space="preserve">Quelle: </w:t>
      </w:r>
      <w:r>
        <w:t>https://mcp.opencaselaw.ch/entscheid/vd_findinfo_Jug___2016___85</w:t>
      </w:r>
    </w:p>
    <w:p>
      <w:r>
        <w:t>FR: VD_FINDINFO Jug / 2016 / 85 du 2 novembre 2015</w:t>
      </w:r>
    </w:p>
    <w:p>
      <w:r>
        <w:t>IT: VD_FINDINFO Jug / 2016 / 85 del 2 novembre 2015</w:t>
      </w:r>
    </w:p>
    <w:p>
      <w:pPr>
        <w:pStyle w:val="Heading2"/>
      </w:pPr>
      <w:r>
        <w:t>Regeste</w:t>
      </w:r>
    </w:p>
    <w:p>
      <w:r>
        <w:t>PEINE PÉCUNIAIRE, RÉVOCATION DU SURSIS, SURSIS À L'EXÉCUTION DE LA PEINE, PEINE COMPLÉMENTAIRE, ESCROQUERIE EN MATIÈRE DE PRESTATIONS, SÉJOUR ILLÉGAL, PÉRIODE D'ESSAI | 146 CP, 34 CP, 42 al. 1 CP, 44 al. 1 CP, 46 al. 1 CP, 47 CP, 49 al. 1 CP, 49 al. 2 CP, 50 CP, 116 al. 1 let. a LEtr</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L’appelante invoque une violation de l’art. 146 CP. Tout en admettant avoir signé chaque mois un formulaire dans lequel elle a à chaque fois omis d’indiquer ses gains, elle soutient que, comme indiqué sur le formulaire en question, ses fausses déclarations tomberaient non pas sous le coup de l’art. 146 CP, mais sous le coup de l’art. 75 de la loi sur l’action sociale vaudois (LASV ; RSV 850.051) prévoyant une simple amende. Or, cette infraction ne saurait être retenue, faute d’avoir été mentionnée dans l’acte d’accusation. L’appelante fait en outre valoir que la condition de l’astuce ne serait de toute manière pas réalisée. Selon elle, le S.________ aurait pu éviter facilement la tromperie en procédant aux vérifications nécessaires, dès lors que de son propre aveu, il aurait admis avoir été alerté par les dépenses ressortant des comptes de l’appelante et qu’il disposerait d’une procuration sur ces différents comptes.</w:t>
      </w:r>
    </w:p>
    <w:p>
      <w:r>
        <w:rPr>
          <w:b/>
        </w:rPr>
        <w:t>E. 3.2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en particulier que l'auteur ait usé de tromperie à l’égard de la dupe et que celle-ci ait été astucieuse (ATF 128 IV 18 consid. 3a ; ATF 122 II 422 consid. 3a ; ATF 122 IV 246 consid. 3a et les arrêts cités).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 citées). Le principe de coresponsabilité doit amener les victimes potentielles à faire preuve d'un minimum de prudence, mais ne saurait être utilisé pour nier trop aisément le caractère astucieux de la tromperie (ATF 128 IV 18 consid. 3a). Ces principes sont également applicables en matière d'aide sociale (ATF 127 IV 163 ; TF 6B_22/2011 du 23 mai 2011 consid. 2.1).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du 25 janvier 2011 consid. 4.1.2 et les réf. citées). La jurisprudence a notamment considéré comme une escroquerie le fait de dissimuler des éléments de revenus ou de patrimoine à l’autorité d’aide sociale dans le dessein de capter des prestations (CAPE 23 août 2013/186 consid. 3.2 ; CAPE 31 août 2011/105 consid. 5.1.2 ; CCASS 11 janvier 2010/4 consid. 3a). Lorsque l’acte litigieux consiste dans le versement par l’Etat de prestations prévues par la loi, il ne peut y avoir escroquerie consommée que si le fait sur lequel portait la tromperie astucieuse et l’erreur était propre, s’il avait été connu par I’Etat, à conduire au refus, conformément à la loi, de telles prestations. Ce n’est en effet que dans ce cas, lorsque les prestations n’étaient en réalité pas dues, que l’acte consistant à les verser s’avère préjudiciable pour l’Etat et donc lui cause un dommage. A défaut de dommage, il n’y a pas escroquerie consommée ; seule une tentative au sens de l’art. 21 CP peut être envisagée à charge de l’auteur (ATF 128 IV 18 consid. 3b ; TF 6B_791/2013 du 3 mars 2014 consid. 3.1.3). Du point de vue subjectif, l’auteur doit avoir agi intentionnellement et dans un dessein d’enrichissement illégitime, un résultat correspondant n’étant cependant pas une condition de l’infraction (ATF 134 IV 210 consid. 5.3 ; ATF 119 IV 210 consid. 4b). Le dol éventuel suffit.</w:t>
      </w:r>
    </w:p>
    <w:p>
      <w:r>
        <w:rPr>
          <w:b/>
        </w:rPr>
        <w:t>E. 3.3</w:t>
      </w:r>
    </w:p>
    <w:p>
      <w:r>
        <w:t>En l’espèce, l’appelante, qui a signé les documents mentionnant son obligation de collaborer avec le S.________ de Lausanne et notamment son devoir d’annoncer toutes ressources, a admis avoir volontairement dissimulé au S.________ l’existence de deux comptes bancaires, sur lesquels elle se faisait verser ses revenus occultes, dans le but de percevoir des prestations sociales. Or, contrairement à ce que soutient l’appelante, ce mensonge est astucieux. En effet, on ne voit pas comment le S.________, qui de surcroît ne peut pas tout vérifier compte tenu des centaines de demandes traitées, aurait pu, au moyen d’une procuration sur les comptes déclarés de l’appelante, découvrir les comptes cachés de cette dernière. Ce service a certes été alerté par les dépenses de l’appelante, après toutefois que celle-ci a été dénoncée par son mari. C’est d’ailleurs l’enquête subséquente qui a permis de confondre l’appelante. Or, comme mentionné ci-dessus, l’astuce est aussi réalisée lorsque l’auteur se borne à donner de fausses informations dont la vérification n’est pas possible, est difficile ou ne peut être raisonnablement exigée. Pour le surplus, le dommage, qui n’est d’ailleurs pas contesté, est avéré, et l’intention dolosive admise. Il s’ensuit que tous les éléments constitutifs de l’infraction d’escroquerie sont réalisés. Ainsi, contrairement à ce que soutient l’appelante, c’est l’art. 146 CP qui doit seul s’appliquer, à l’exclusion de l’art. 75 LASV, puisqu’il vise l’acte sous tous ses aspects (CREP 24 juillet 2013/503 consid. 2b; CASS 3 août 2007/241 consid. 2.3). Au vu de ce qui précède, la condamnation de l’appelante pour escroquerie ne viole pas le droit fédéral.</w:t>
      </w:r>
    </w:p>
    <w:p>
      <w:r>
        <w:rPr>
          <w:b/>
        </w:rPr>
        <w:t>E. 4.1</w:t>
      </w:r>
    </w:p>
    <w:p>
      <w:r>
        <w:t>L’appelante invoque ensuite une violation de son droit d’être entendue, pour le motif que le jugement attaqué ne serait pas suffisamment motivé sur la question de la quotité de la peine.</w:t>
      </w:r>
    </w:p>
    <w:p>
      <w:r>
        <w:rPr>
          <w:b/>
        </w:rPr>
        <w:t>E. 4.2</w:t>
      </w:r>
    </w:p>
    <w:p>
      <w:r>
        <w:t>Tel que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consid. 2c; ATF 121 I 54 consid. 2c). Il n’est donc pas nécessaire que les motifs portent sur tous les moyens des parties ; ils peuvent être limités aux questions décisives (ATF 133 III 439 consid. 3.3). Le droit d’être entendu est une garantie constitutionnelle de nature formelle dont la violation entraîne en principe l’annulation de la décision attaquée, indépendamment des chances de succès du recours sur le fond (ATF 135 I 187 consid. 2.2;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ATF 133 I 201 consid. 2.2).</w:t>
      </w:r>
    </w:p>
    <w:p>
      <w:r>
        <w:rPr>
          <w:b/>
        </w:rPr>
        <w:t>E. 4.3</w:t>
      </w:r>
    </w:p>
    <w:p>
      <w:r>
        <w:t>En l'espèce, quand bien même la motivation du jugement devait être tenue pour insuffisante, la partie a eu la faculté de faire valoir ses moyens devant la Cour d’appel pénale, qui dispose d’un plein pouvoir d'examen et qui peut ainsi, sur la base d’un dossier complet, contrôler librement la décision attaquée conformément à la jurisprudence fédérale résumée ci-dessus. Le moyen tiré de la motivation insuffisante du jugement sur la question de la quotité de la peine se confond en réalité avec le moyen examiné ci-après (cf. consid. 5) relatif au prononcé d’une peine trop sévère. Le grief invoqué par l’appelante doit donc être rejeté.</w:t>
      </w:r>
    </w:p>
    <w:p>
      <w:r>
        <w:rPr>
          <w:b/>
        </w:rPr>
        <w:t>E. 5.1</w:t>
      </w:r>
    </w:p>
    <w:p>
      <w:r>
        <w:t>L’appelante, qui ne conteste pas le genre de la peine prononcée par le premier juge, reproche en revanche à ce dernier d’avoir prononcé une peine pécuniaire trop sévère. Elle soutient que le premier juge aurait omis de tenir compte des éléments à décharge suivants savoir, son admission des faits, sa libération du cas no 2 contenu dans l’acte d’accusation, son unique volonté d’aider sa sœur s’agissant de l’infraction d’incitation au séjour illégal, ses difficultés conjugales et enfin ses remboursements au S.________, certes modestes mais amorcés. Elle fait en outre valoir que le premier juge a retenu la même peine que celle proposée par le Ministère public dans son acte d’accusation, alors que sa libération du cas no 2 aurait dû logiquement entraîner une réduction de cette peine. Enfin, sans l’étayer, elle a conclu à ce que le montant du jour-amende fixé par le premier juge à 30 fr. soit réduit à 10 francs.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 Un tel calcul implique que le juge connaisse non seulement la peine qui a été prononcée antérieurement, mais également les infractions qu’elle sanctionnait (TF 6B_442/2012 du 11 mars 2013; TF 6S.326/2000 du 7 juillet 2000 consid. 1a). 5.2.3 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la jurisprudence du Tribunal fédéral (ATF 134 IV 60 consid. 6; TF 6B_845/2009 du 11 janvier 2010 consid.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w:t>
      </w:r>
    </w:p>
    <w:p>
      <w:r>
        <w:rPr>
          <w:b/>
        </w:rPr>
        <w:t>E. 5.3</w:t>
      </w:r>
    </w:p>
    <w:p>
      <w:r>
        <w:t>En l’espèce, T.________ s’est rendue coupable d’escroquerie et d’incitation au séjour illégal. A charge, il sera retenu la persistance de l’appelante dans un comportement délictueux, alors que les sanctions précédentes auraient dû dissuader cette dernière de récidiver, l’importance de la période délictueuse et le concours d’infractions. A sa décharge, il sera tenu compte des aveux et des regrets exprimés, des difficultés rencontrées durant la période incriminée, soit en particulier du conflit conjugal, ainsi que du mobile s’agissant de l’infraction d’incitation au séjour illégal. En outre, il convient de tenir compte du fait que la peine à prononcer est partiellement complémentaire aux condamnations précédentes qui sont similaires en tant qu’elles sanctionnent des infractions aux assurances sociales. On observe à ce titre que la deuxième condamnation, entièrement complémentaire à la première, sanctionnait une infraction à la loi fédérale sur l’assurance-chômage obligatoire et de l’indemnité en cas d’insolvabilité portant sur 20'000 fr., quand la première sanctionnait une même infraction portant sur 3'500 francs. La nouvelle infraction, soit l’escroquerie, porte sur près de 47'500 francs. La peine est additionnelle pour moitié aux peines précédentes et nouvelle pour l’autre moitié. Une part de l’escroquerie, pour un montant de 23'500 fr., doit donc être rattachée aux condamnations précédentes. Si le premier juge avait eu connaissance de ces faits, la peine à prononcer aurait excédé sa compétence. Elle aurait été de l’ordre de 250 jours-amende. Partant, la part additionnelle de la nouvelle peine est de 70 jours-amende (250 jours-amende – 180 jours-amende). Compte tenu de l’ensemble de ces éléments, la Cour de céans est d’avis qu’une peine pécuniaire de 170 jours-amende, dont la part non additionnelle est de 100 jours-amende (170 jours-amende – 70 jours-amende), est adéquate. Il reste à examiner la quotité du jour-amende. A cet égard, il faut tenir compte du revenu réalisé par l’appelante, soit le salaire mensuel net, auquel s’ajoutent les allocations familiales et la pension mensuelle, ce qui fait un total de 6'660 fr. (5'000 fr. + 460 fr. + 1'200 fr.). De ce revenu, on déduit le minimum vital de l’appelante (1'300 fr.), les frais d’entretien de base des deux enfants (2 x 600 fr.) et les primes d’assurance-maladie (120 fr.). Les dettes privées et les frais de logement ne sont pas pris en compte. Dans ces conditions, la valeur du jour-amende est de 135 fr. [(6'660 fr. – 2'620 fr.)/30], ce qui donne un montant plus élevé que celui de 30 fr. retenu dans le jugement entrepris, même après déduction des éventuelles charges d’impôt dont on ignore le montant exact.</w:t>
      </w:r>
    </w:p>
    <w:p>
      <w:r>
        <w:rPr>
          <w:b/>
        </w:rPr>
        <w:t>E. 5.4</w:t>
      </w:r>
    </w:p>
    <w:p>
      <w:r>
        <w:t>Il résulte de l’ensemble des considérations qui précèdent que la quotité de la peine pécuniaire de 170 jours-amende et celle du jour-amende fixé à 30 fr., retenues par le premier juge, ne prêtent pas le flanc à la critique.</w:t>
      </w:r>
    </w:p>
    <w:p>
      <w:r>
        <w:rPr>
          <w:b/>
        </w:rPr>
        <w:t>E. 6.1</w:t>
      </w:r>
    </w:p>
    <w:p>
      <w:r>
        <w:t>L’appelante conclut à la non-révocation des sursis précédents. Elle soutient que, dans la mesure où elle n’a jamais eu à subir de peine ferme, l’exécution d’une telle peine suffirait à la dissuader de commettre de nouvelles infractions, sans qu’il n’y ait besoin de révoquer en outre les sursis précédents. 6.2.1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et 4.2.2). 6.2.2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 6.2.3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(arrêt précité consid.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6.3</w:t>
      </w:r>
    </w:p>
    <w:p>
      <w:r>
        <w:t>En l’espèce, on relèvera d’abord que le pronostic à poser quant au comportement futur de l’appelante est incontestablement défavorable. En effet, le casier judiciaire de T.________ comporte déjà deux condamnations pour la même catégorie d’infractions, ce qui ne dénote aucun changement positif dans la situation de l’intéressée. L’appelante présente au contraire un sentiment d’impunité en lien avec ses précédentes condamnations, ce qui laisse craindre de nouvelles infractions. Au vu de ce risque de récidive, la Cour de céans est d’avis qu’il convient de révoquer les sursis accordés précédemment à l’appelante. Cela étant, on peut espérer que l’exécution des peines prononcées antérieurement suffira à dissuader l’intéressée de commettre de nouvelles infractions. A cela s’ajoute que l’appelante apparaît correctement socialisée et que les affres de sa vie conjugale semblent révolus. Partant, il convient d’assortir la nouvelle peine du sursis. Quant au délai d’épreuve, la Cour de céans considère, au vu de la persistance de l’appelante à récidiver dans le même domaine d’infractions et de la longue période délictueuse, qu’un délai d’épreuve de cinq ans est nécessaire pour atteindre le but d'amendement durable recherché.</w:t>
      </w:r>
    </w:p>
    <w:p>
      <w:r>
        <w:rPr>
          <w:b/>
        </w:rPr>
        <w:t>E. 7</w:t>
      </w:r>
    </w:p>
    <w:p>
      <w:r>
        <w:t>Compte tenu de la confirmation de sa condamnation, il convient de rejeter la conclusion de l’appelante tendant à ce qu’il ne soit pas alloué de conclusions civiles à la X.________. Pour le même motif, il n’y a pas matière à revoir la mise à la charge de la prévenue des frais judiciaires de première instance (art. 426 al. 1 CPP).</w:t>
      </w:r>
    </w:p>
    <w:p>
      <w:r>
        <w:rPr>
          <w:b/>
        </w:rPr>
        <w:t>E. 8</w:t>
      </w:r>
    </w:p>
    <w:p>
      <w:r>
        <w:t>En définitive, l’appel doit être partiellement admis et le jugement attaqué réformé dans le sens des considérants qui précèdent. Vu la mesure dans laquelle l'appelante obtient gain de cause, les frais de la procédure d'appel seront mis pour moitié à sa charge, le solde étant laissé à la charge de l’Etat (art. 428 al. 1, 1 ère phrase, CPP). Outre l'émolument de jugement, qui se monte à 2'160 fr. (art. 21 al. 1 et 2 TFIP [Tarif des frais de procédure et indemnités en matière pénale du 28 septembre 2010; RSV 312.03.1]), ces frais comprennent l’indemnité allouée à son défenseur d’office. Au vu de la liste des opérations produite, c’est une indemnité de 1'177 fr. 20, correspondant à 5 heures 15 d’activité à 180 fr., une vacation à 120 fr. et 25 fr. de débours, plus la TVA, qui doit être allouée au défenseur d’office de T.________ pour la procédure d’appel. L'appelante ne sera tenue de rembourser à l’Etat la moitié du montant de l'indemnité prévue ci-dessus que lorsque sa situation financière le permettra (art. 135 al. 4 let. a CPP). La Cour d’appel pénale appliquant les articles 34, 42 al. 1, 44 al 1, 46 al. 1, 47, 49 al. 1 et 2, 50, 146 al. 1 CP ; 116 al. 1 let. a LEtr et 398 ss CPP, prononce : I. L’appel est partiellement admis. II. Le jugement rendu le 2 novembre 2015 par le Tribunal de police de l’arrondissement de Lausanne est modifié comme il suit par l’ajout à son dispositif d’un chiffre IV bis nouveau, le dispositif du jugement étant désormais le suivant : "I. libère T.________ d’incitation au séjour illégal selon cas no 2 de l’acte d’accusation; II. constate que T.________ s’est rendue coupable d’escroquerie et d’incitation au séjour illégal; III. condamne T.________ à une peine pécuniaire de 170 jours-amende à 30 fr. le jour; IV. dit que la peine fixée sous chiffre III ci-dessus est partiellement complémentaire à celles infligées à T.________ les 13 juin 2012 et 24 juillet 2013 par le Ministère public de l’arrondissement de Lausanne; IV bis. suspend l’exécution de la peine pécuniaire prononcée au chiffre III ci-dessus et fixe à la condamnée un délai d’épreuve de cinq ans; V. révoque les sursis accordés les 13 juin 2012 et 24 juillet 2013 par le Ministère public de l’arrondissement de Lausanne et ordonne l’exécution des peines pécuniaires; VI. alloue à la X.________ ses conclusions civiles et dit que T.________ lui doit immédiat paiement de la somme de 47'497 fr. 40; VII. arrête l’indemnité d’office de Me Amandine Torrent à 1'800 fr., débours et TVA compris; VIII. met les frais de procédure par 3'925 fr., y compris l’indemnité d’office fixée sous chiffre VII ci-dessus à la charge de T.________." III. Une indemnité de défenseur d'office pour la procédure d'appel d'un montant de 1'177 fr. 20 , TVA et débours inclus, est allouée à Me Amandine Torrent. IV. Les frais d'appel, par 3'337 fr. 20, y compris l'indemnité allouée au défenseur d'office, sont mis par moitié à la charge de T.________, soit par 1'668 fr. 60, le solde étant laissé à la charge de l’Etat. V. T.________ ne sera tenue de rembourser à l’Etat la moitié du montant de l’indemnité en faveur de son défenseur d’office prévue au ch. III. ci-dessus que lorsque sa situation financière le permettra . VI. Le jugement motivé est exécutoire. Le président :               La greffière : Du 3 mars 2016 Le dispositif du jugement qui précède est communiqué à l’appelante et aux autres intéressés. La greffière : Du Le jugement qui précède, dont la rédaction a été approuvée à huis clos, est notifié, par l'envoi d'une copie complète, à : - Me Amandine Torrent, avocate (pour T.________), - X.________, à l’att. de Mme [...], - Ministère public central, une copie du dispositif est adressée à : - Mme la Présidente du Tribunal de police de l'arrondissement de Lausanne, - Mme la Procureure de l'arrondissement de Lausanne, - Service de la population, Secteur E, - Office fédéral des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