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81 vom 2. Oktober 2015</w:t>
      </w:r>
    </w:p>
    <w:p>
      <w:r>
        <w:t>VD Tribunal cantonal, 2015-10-02, FR</w:t>
      </w:r>
    </w:p>
    <w:p>
      <w:r>
        <w:rPr>
          <w:b/>
        </w:rPr>
        <w:t xml:space="preserve">Quelle: </w:t>
      </w:r>
      <w:r>
        <w:t>https://mcp.opencaselaw.ch/entscheid/vd_findinfo_Jug___2016___81</w:t>
      </w:r>
    </w:p>
    <w:p>
      <w:r>
        <w:t>FR: VD_FINDINFO Jug / 2016 / 81 du 2 octobre 2015</w:t>
      </w:r>
    </w:p>
    <w:p>
      <w:r>
        <w:t>IT: VD_FINDINFO Jug / 2016 / 81 del 2 ottobre 2015</w:t>
      </w:r>
    </w:p>
    <w:p>
      <w:pPr>
        <w:pStyle w:val="Heading2"/>
      </w:pPr>
      <w:r>
        <w:t>Regeste</w:t>
      </w:r>
    </w:p>
    <w:p>
      <w:r>
        <w:t>ADMISSION PARTIELLE, PEINE PÉCUNIAIRE, LOI FÉDÉRALE SUR LES ÉTRANGERS, INTENTION | 12 CP, 34 CP, 41 al. 1 CP, 42 CP, 47 CP, 117 al. 1 LEtr, 117 al. 2 LEtr, 10 CPP (CH), 426 al. 1 CPP (CH)</w:t>
      </w:r>
    </w:p>
    <w:p>
      <w:pPr>
        <w:pStyle w:val="Heading2"/>
      </w:pPr>
      <w:r>
        <w:t>Erwägungen</w:t>
      </w:r>
    </w:p>
    <w:p>
      <w:r>
        <w:rPr>
          <w:b/>
        </w:rPr>
        <w:t>E. 1</w:t>
      </w:r>
    </w:p>
    <w:p>
      <w:r>
        <w:t>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Le recourant invoque une constatation inexacte des faits. Il fait valoir qu’il n’était pas l’employeur de J.________ au sens du droit civil, qu’il n’était pas lié à la société C.________ par un contrat de sous-traitance, mais par un contrat de service, que le fait que le contrat porte sur une durée de trois jours n’impli­que pas que J.________ ait effectivement travaillé pour lui durant trois jours, que seule la journée du 29 août 2014 peut être retenue, qu’il n’a pas agi intentionnelle­ment et qu’il a agi tout au plus par négligence.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3.2.1 Aux termes de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 Le terme “employer”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En vertu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91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(2C_1039/2013 du 16 avril 2014 consid. 5.1 ; 2C_783/2012 du 10 octobre 2012 consid. 2.1 ; 2C_357/2009 du 16 novembre 2009 consid. 5.3). 3.2.2 Selon l’art. 12 al. 1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du Code pénal,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 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nn. 15 ss. ad art. 12 CP et les références citées).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w:t>
      </w:r>
    </w:p>
    <w:p>
      <w:r>
        <w:rPr>
          <w:b/>
        </w:rPr>
        <w:t>E. 3.3</w:t>
      </w:r>
    </w:p>
    <w:p>
      <w:r>
        <w:t>En l’espèce, le prévenu a signé, le 25 août 2014, un contrat de « colla­bo­ration et sous-traitance » avec la société C.________ portant sur la « mi­se à disposition de personnel », soit de l’ouvrier J.________, pour des travaux de carrelage à [...] du 27 au 29 août 2014. Il importe peu que ce contrat soit qualifié de contrat de sous-traitance, comme l’a retenu le premier juge, ou qu’il soit qualifié de contrat de service par lequel C.________ s’engageait à fournir au prévenu un employé pour une durée limitée, comme l’affirme l’appelant. En effet, il ne fait aucun doute que, le 29 août 2014, le pré­ve­nu a employé J.________, ressor­tissant kosovar sans autorisation de travail, sur un chantier de [...] au sens de l’art. 117 LEtr ; au surplus, le prévenu ne conteste plus, dans son appel, qu’il lui incombait de vérifier le titre de séjour de J.________, ce alors même qu’il a affirmé le contraire au premier juge (Jgt p. 4). En outre, il est évident que J.________ travaillait pour le prévenu ; les circonstances dans lesquelles s’est déroulé le contrôle du 29 août 2014 à 8h33 effectué par un agent de la police du Chablais, lors duquel J.________ a pris la fuite en tenue de travail avant d’être interpellé en habit civil avec du plâtre sur les mains, sur les cheveux et sur les avant-bras, suffisent à elles seules à l’établir. Cela étant, les déclarations du prévenu et de J.________ divergent s’agissant du nombre de jours travaillés par celui-ci pour l’appelant. Si J.________ a déclaré qu’il avait travaillé durant deux à trois jours sur le chantier, comme le prévoyait le contrat du 25 août 2014, et non seule­ment le jour de son interpellation, le prévenu a varié dans ses déclarations, préten­dant tout d’abord que J.________ ne travaillait pas pour lui et qu’il l’avait vu pour la première fois le 29 août 2014 devant la police (PV aud. 1), puis admettant que J.________ était venu sur le chantier le 29 août 2014 pour déplacer le carrelage qui avait été livré le 27 août 2014 (Jgt p. 4). On ne saurait toutefois déduire des indications données à la police par le chef de chantier, selon lesquelles il avait vu J.________ poser du carrelage pour l’entreprise du prévenu à [...], que cet ouvrier a travaillé du 27 au 29 août 2014 pour le prévenu. Le fait que J.________ aurait travaillé d’autres jours que le 29 août 2014 pour l’appelant n’est au surplus corroboré par aucune pièce du dossier. L’appré­cia­tion des preuves du premier juge ne peut donc être confirmée sur ce point et il y a lieu de retenir que J.________ a travaillé, sans permis de séjour et de travail, pour l’entreprise du prévenu sur un chantier de [...] pendant une journée, soit le 29 août 2014. L’appelant affirme qu’on peut tout au plus lui reprocher une négligence. Or, il perd de vue que, compte tenu de sa qualité d’employeur au sens de l’art. 117 LEtr, il lui incombait de vérifier si le travailleur à son service bénéficiait d’un permis de travail et il ne saurait, comme il l’a affirmé au terme de l’audience de première instan­ce, ne pas poser de questions à ses employés à ce sujet et s’en remettre à sa fidu­ciaire (Jgt p. 6). Le prévenu, déjà condamné à deux reprises pour l’emploi de travail­leurs étrangers sans autorisation, devait parfaitement connaître ses obligations, ce qu’il a d’ailleurs fini par admettre dans son appel. Il ne pouvait pas non plus ignorer que le fait que l’ouvrier lui soit fourni par une autre société ne changeait rien à ses obligations d’employeur. Dans ces circonstances, le prévenu a à tout le moins accep­té la réalisation de l’infraction en ne procédant pas aux vérifications d’usage et a failli à ses obligations, de sorte qu’il n’y a pas place à la négligence et que sa con­dam­nation pour violation de l’art. 117 al. 1 et 2 LEtr doit être confir­mée.</w:t>
      </w:r>
    </w:p>
    <w:p>
      <w:r>
        <w:rPr>
          <w:b/>
        </w:rPr>
        <w:t>E. 4.1</w:t>
      </w:r>
    </w:p>
    <w:p>
      <w:r>
        <w:t>L’appelant a été condamné par le premier juge à une peine privative de liberté de 70 jours, ainsi qu’à une peine pécuniaire de 5 jours-amende, le montant du jour-amende étant fixé à 60 francs. En appel, il conteste le genre de la peine qui lui a été infligée et requiert le prononcé d’une peine pécuniaire de 15 jours-amende à 60 francs le jour. Il fait valoir qu’une peine privative de liberté est exagérée, l’ouvrier en situation irrégulière n’ayant travaillé pour lui qu’une seule journée.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4.2.2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 TF 6B_102/2012 du 22 juin 2012 consid. 2.1). 4.2.3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4.2.4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4.3</w:t>
      </w:r>
    </w:p>
    <w:p>
      <w:r>
        <w:t>Il convient d’examiner si une courte peine privative de liberté est adéquate (cf. art. 41 CP) ou si une peine pécuniaire doit être prononcée. En l’espèce, le premier juge a infligé à l’appelant une courte peine privative de liberté assortie d’une peine pécuniaire, pour les motifs que les peines pécuniaires pronon­cées auparavant et la révocation du sursis octroyé le 5 janvier 2012 n’avaient pas eu d’effet dissuasif et que le pronostic était clairement défavo­rable. E.________ a déjà fait l’objet de deux condamnations pour le même type d’infraction, la première en 2012 et la deuxième en 2013, et il a récidivé moins de cinq ans après sa première condamnation. Sa culpabilité est donc importante, sa désin­volture et ses explications bancales révélant son mépris à l’égard de ses obligations d’em­ployeur et des dispositions de la LEtr. Le pronostic est ainsi défavo­rable. A décharge, il convient de tenir compte de la brève durée de l’activité délic­tueuse retenue qui est d’un jour, de la gravité légère des faits reprochés, ainsi que du début de prise de conscience du prévenu qui a reconnu, dans son appel, qu’il aurait dû s’assurer que J.________ était titulaire d’un permis de travail. Dans la mesure où une peine pécuniaire constitue une restriction au standard de vie du condamné, partant l’atteint dans son patrimoine et touche à ce qui lui est nécessaire pour vivre, elle apparaît être la sanction la plus efficace pour réprimer le comportement du prévenu. Tout bien considéré, la peine privative de liberté prononcée par le premier juge apparaît trop sévère. Au vu des éléments à charge et à décharge et de la culpabilité du prévenu, une peine pécuniaire de 15 jours-amende ferme à 60 fr. le jour, quotité admise par l’appelant lui-même, est adéquate pour sanctionner le com­por­te­­ment illicite du prévenu. Le montant du jour-amende tient compte de la situation personne du prévenu qui a trois enfants mineurs à charge. L’appel doit être admis sur ce point et le jugement de première instance modifié dans ce sens.</w:t>
      </w:r>
    </w:p>
    <w:p>
      <w:r>
        <w:rPr>
          <w:b/>
        </w:rPr>
        <w:t>E. 5</w:t>
      </w:r>
    </w:p>
    <w:p>
      <w:r>
        <w:t>L’appelant conteste la mise à sa charge de l’intégralité des frais de première instance.</w:t>
      </w:r>
    </w:p>
    <w:p>
      <w:r>
        <w:rPr>
          <w:b/>
        </w:rPr>
        <w:t>E. 5.1</w:t>
      </w:r>
    </w:p>
    <w:p>
      <w:r>
        <w:t>Selon l’art. 426 al. 1 CPP, le prévenu supporte les frais de procédure s’il est condamné.</w:t>
      </w:r>
    </w:p>
    <w:p>
      <w:r>
        <w:rPr>
          <w:b/>
        </w:rPr>
        <w:t>E. 5.2</w:t>
      </w:r>
    </w:p>
    <w:p>
      <w:r>
        <w:t>En l’espèce, l’appelant a fait opposition à une ordonnance du Ministère public le condamnant pour infraction à la LEtr et le tribunal de première instance l’a reconnu coupable d’emploi répété d’étrangers sans autorisation. Or l’appelant a, par son comportement, occa­sion­né l’ou­ver­ture et la mise en œuvre de l’enquête pénale, de sorte qu’il doit en supporter les frais (ATF 138 IV 248 consid. 4.4.1 ; TF 6B_428/2012 du 19 novembre 2012 consid. 3.1). Le prévenu doit dès lors assumer la charge de l’intégralité des frais de première instance, conformément à l’art. 426 CPP. Mal fondé, ce moyen doit être rejeté.</w:t>
      </w:r>
    </w:p>
    <w:p>
      <w:r>
        <w:rPr>
          <w:b/>
        </w:rPr>
        <w:t>E. 6</w:t>
      </w:r>
    </w:p>
    <w:p>
      <w:r>
        <w:t>En définitive, l’appel interjeté par E.________ doit être partiellement admis et le jugement entrepris réformé dans le sens des considérants. L’appelant, qui a agi par l’intermédiaire d’un défenseur de choix, n’a pas pris de conclusion tendant à l’octroi de dépens. Il n’a au surplus ni chiffré, ni justifié ses éventuelles prétentions alors même qu’il y avait été enjoint dans la citation du 17 décembre 2015 de la direction de la procédure, confor­mément à l’art. 429 al. 2 CPP. Des dépens pénaux ne sauraient donc lui être alloués. Vu l’issue de la cause, les frais de la procédure d’appel, constitués de l’émolument du présent jugement, par 1’940 fr. (art. 21 al. 1 et 2 TFIP [Tarif des frais de procédure et indemnités en matière pénale du 28 septembre 2010 ; RSV 312.03.1]), doivent être mis par moitié à la charge d’E.________,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