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 vom 14. August 2015</w:t>
      </w:r>
    </w:p>
    <w:p>
      <w:r>
        <w:t>VD Tribunal cantonal, 2015-08-14, FR</w:t>
      </w:r>
    </w:p>
    <w:p>
      <w:r>
        <w:rPr>
          <w:b/>
        </w:rPr>
        <w:t xml:space="preserve">Quelle: </w:t>
      </w:r>
      <w:r>
        <w:t>https://mcp.opencaselaw.ch/entscheid/vd_findinfo_Jug___2016___8</w:t>
      </w:r>
    </w:p>
    <w:p>
      <w:r>
        <w:t>FR: VD_FINDINFO Jug / 2016 / 8 du 14 août 2015</w:t>
      </w:r>
    </w:p>
    <w:p>
      <w:r>
        <w:t>IT: VD_FINDINFO Jug / 2016 / 8 del 14 agosto 2015</w:t>
      </w:r>
    </w:p>
    <w:p>
      <w:pPr>
        <w:pStyle w:val="Heading2"/>
      </w:pPr>
      <w:r>
        <w:t>Regeste</w:t>
      </w:r>
    </w:p>
    <w:p>
      <w:r>
        <w:t>ACCIDENT DE LA CIRCULATION, PROCÈS ÉQUITABLE, DROIT D'ÊTRE ENTENDU, EXPERTISE, ACQUITTEMENT, LÉSION CORPORELLE PAR NÉGLIGENCE, CONSTATATION DES FAITS, PARTIE CIVILE | 125 CP, 426 al. 2 CPP (CH), 429 al. 1 let. a CPP (CH)</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recourir contre un jugement d’un tribunal de première instance ayant clos la procédure (art. 398 al. 1 CPP), l’appel est recevable.</w:t>
      </w:r>
    </w:p>
    <w:p>
      <w:r>
        <w:rPr>
          <w:b/>
        </w:rPr>
        <w:t>E. 1.1</w:t>
      </w:r>
    </w:p>
    <w:p>
      <w:r>
        <w:t>et 1.3, ainsi que les arrêts cités ; TF 6B_1011/2013 du 13 mars 2014 consid. 2.1 ; Bussy et al., Code suisse de la circulation routière commenté, 4 e éd., Bâle 2015, n. 8 ad art. 16 ss LCR et n. 3.10.3.1 ad art. 32 LCR). 5.2 Au vu de ce qui précède, notamment de l’établissement de la vitesse à laquelle le prévenu roulait (cf. consid. 4.4), l’infraction de violation grave des règles de la circulation routière retenue par le premier juge (jgt., p. 23) ne porte pas flanc à la critique en l’espèce, dans la mesure où l’appelant circulait à une vitesse de 76 km/h au moins en lieu et place de 50 km/heure. Au surplus, la gravité de l’excès de vitesse est manifeste vu la situation des lieux– passage à niveau, sortie de localité – et des circonstances – nuit –, et ce d’autant plus lorsque le prévenu déclare qu’il accélérait au moment du choc, alors qu’il n’avait pas encore passé le panneau augmentant la limitation de vitesse à 60 km/heure. Partant, c’est à bon droit que le premier juge a retenu que A.________ avait violé de façon grave les règles de la circulation, au sens des art. 90 al. 2 LCR et 4a al. 1 OCR. 5.3 L’ivresse au volant n’est pas contestée par l’appelant.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I. Conclusions subsidiaires</w:t>
      </w:r>
    </w:p>
    <w:p>
      <w:r>
        <w:rPr>
          <w:b/>
        </w:rPr>
        <w:t>E. 3.1</w:t>
      </w:r>
    </w:p>
    <w:p>
      <w:r>
        <w:t>A titre subsidiaire, A.________ se plaint d’une violation du droit au procès équitable et d’une violation du droit d’être entendu. Il conviendra d’examiner ce moyen en premier lieu dès lors que, s’il devait être admis, le jugement de première instance pourrait être annulé nonobstant le caractère restrictif de l’art. 409 CPP.</w:t>
      </w:r>
    </w:p>
    <w:p>
      <w:r>
        <w:rPr>
          <w:b/>
        </w:rPr>
        <w:t>E. 3.2</w:t>
      </w:r>
    </w:p>
    <w:p>
      <w:r>
        <w:t>L’art. 3 al. 2 let. c CPP prévoit qu’à tous les stades de la procédure, les autorités pénales se conforment à la maxime voulant qu’un traitement équitable et le droit d’être entendu soient garantis à toute les personnes touchées par la procédure. Cette disposition exprime le droit à un procès équitable qui découle des art. 29 al. 1 Cst (Constitution fédérale de la Confédération suisse du 18 avril 1999 ; RS 101) et 6 par. 1 CEDH (Convention de sauvegarde des droits de l’Homme et des libertés fondamentales du 4 novembre 1950 ; RS 0.101). La notion d’équité que renferme le principe n’est pas définie, mais elle implique que les autorités sont tenues de traiter correctement les personnes concernées dans les procédures, en respectant leur dignité et leurs droits. En particulier, il est essentiel que le prévenu ait pu interroger ou faire interroger des témoins durant la procédure préliminaire ou aux débats (Moreillon/Parein-Reymond, Petit commentaire Code de procédure pénale, Bâle 2013, n. 14 ad art. 3 CPP).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Le droit d’être entendu étant de nature formelle, toute violation de ce dernier conduit, en principe, à l’annulation de la décision rendue ; demeurent cependant réservés les cas dans lesquels la violation est de peu de gravité et peut être réparée, par exemple lorsque la partie dont le droit d’être entendu a été violé peut l’exercer par la suite devant une instance disposant du même pouvoir d’examen (TF 6B_562/2011 du 5 décembre 2011).</w:t>
      </w:r>
    </w:p>
    <w:p>
      <w:r>
        <w:rPr>
          <w:b/>
        </w:rPr>
        <w:t>E. 3.3.1</w:t>
      </w:r>
    </w:p>
    <w:p>
      <w:r>
        <w:t>A.________ reproche à l’expert d’avoir, dans le cadre de son expertise du 28 septembre 2012 (P. 59), procédé à une reconstitution de l’accident avec interrogatoire des gendarmes et d’avoir pris diverses photographies des lieux de nuit pour se représenter la vision de l’automobiliste, cela sans en avertir les parties au préalable. Il résulte de l’art. 185 al. 4 CPP que l’expert peut procéder lui-même à des investigations simples qui ont un rapport étroit avec le mandat qui lui a été confié et convoquer des personnes à cet effet. La loi ne prévoit pas que les parties et/ou les conseils puissent participer aux opérations d’une expertise. Par conséquent, il n’y a pas de droit à ce que l’avocat d’une partie assiste aux opérations d’expertise (Vuille, in : Kuhn/Jeanneret [éd.], Commentaire romand, Code de procédure pénale suisse, Bâle 2011, nn. 15-16 ad art. 185 CPP). En l’espèce, on ne peut donc pas reprocher à l’expert de ne pas avoir convoqué les parties lorsqu’il a procédé à l’inspection des lieux qui était indispensable à sa mission. Dans cette mesure, on ne saurait retrancher du rapport les investigations de l’expert « sans indemnité » et procéder à une nouvelle expertise. Le fait qu’il ait procédé à dite expertise en présence du gendarme ayant établi le rapport de police ne peut pas non plus lui être reproché dans la mesure où celui-ci n’était pas en mesure de fournir d’autres éléments que ceux mentionnés dans ledit rapport ou dans le plan de la gendarmerie (P. 4 et 28), et compte tenu du fait que la présence de la gendarmerie était au surplus rendue nécessaire par le besoin de sécuriser les lieux. Ainsi, à l’instar du juge de première instance, la Cour de céans considère que l’audition du gendarme ne sort pas du cadre légal, que le rapport de l’expert n’est pas entaché de vices et qu’il répond aux questions que les parties ont pu poser à l’expert. En outre, l’expert a été entendu en contradictoire aux débats de première instance et son rapport constitue un élément de preuve parmi d’autres que les autorités de jugement ont examiné librement. Partant, la procédure d’expertise n’était pas viciée et le rapport d’expertise du 28 septembre 2012 ne doit pas être retiré du dossier.</w:t>
      </w:r>
    </w:p>
    <w:p>
      <w:r>
        <w:rPr>
          <w:b/>
        </w:rPr>
        <w:t>E. 3.3.2</w:t>
      </w:r>
    </w:p>
    <w:p>
      <w:r>
        <w:t>A.________ reproche également au tribunal de première instance de ne pas avoir cité les gendarmes aux débats. En l’espèce, il s’avère que cela n’était pas nécessaire au traitement de l’appel. En effet,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Selon la jurisprudence,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 L’appelant met en doute la fiabilité des mesures, du rapport du 7 janvier 2010 et du plan effectués par la police. Il n’expose toutefois nullement en quoi l’audition des policiers pourrait contribuer à éclaircir ces questions. Le prévenu, hormis soutenir que le procès serait manifestement inéquitable s’il n’avait pas eu la possibilité de poser des questions aux policiers, n’expose pas quelles sont les questions concrètes qu’il leur aurait posées. Au demeurant, il s’avère que les policiers n’ont pas été en mesure de dire à l’expert comment les traces de freinage avaient été mesurées, ni de donner d’autres explications que celles figurant dans les rapports écrits (jgt., p. 6), de telle sorte que leur audition n’aurait rien pu apporter en première comme en seconde instance. Partant, l’absence d’audition des gendarmes ne permet pas de conclure au caractère inéquitable de la procédure.</w:t>
      </w:r>
    </w:p>
    <w:p>
      <w:r>
        <w:rPr>
          <w:b/>
        </w:rPr>
        <w:t>E. 3.3.3</w:t>
      </w:r>
    </w:p>
    <w:p>
      <w:r>
        <w:t>Pour le surplus, les autres éléments mis en avant par A.________ tels que l’émolument de 50 fr. pour l’envoi du dossier de la cause et l’existence d’un recours à la Chambre des recours pénale, ne sont à l’évidence pas des éléments permettant de conclure à la nécessité d’une annulation du jugement de première instance, au motif que la procédure se serait avérée inéquitable. En définitive, le droit d’être entendu de A.________ n’a pas été violé, de même que son droit à un procès équitable. Le moyen, mal fondé, sera rejeté. II. Constatation des faits, qualification juridique et peine</w:t>
      </w:r>
    </w:p>
    <w:p>
      <w:r>
        <w:rPr>
          <w:b/>
        </w:rPr>
        <w:t>E. 4</w:t>
      </w:r>
    </w:p>
    <w:p>
      <w:r>
        <w:t>Invoquant notamment une violation du principe de la présomption d’innocence, l’appelant conteste un certain nombre de faits retenus par le tribunal de première instance.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du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4.2</w:t>
      </w:r>
    </w:p>
    <w:p>
      <w:r>
        <w:t>En premier lieu, A.________ conteste la détermination du lieu de la collision. Il reproche au premier juge de s’être fondé uniquement sur l’emplacement des débris de son véhicule dans la zone limitée à 50 km/h afin de déterminer le point de choc, alors que l’expert a admis que l’emplacement de ces débris n’avait pas pu être déterminé de façon fiable. Il résulte du plan de la gendarmerie (P. 28) que le point de choc se situe environ 16 mètres après le passage à niveau et 7 mètres avant le panneau permettant une vitesse maximale de 60 km/heure. Par conséquent, l’emplacement de la collision se situe encore dans la zone limitée à 50 km/heure. L’expert a adhéré à ces constatations, tout en expliquant que, pour parvenir à de telles conclusions, il ne s’était pas fondé sur l’emplacement des débris car ceux-ci avaient été balayés et rassemblés sur le bord de la route. L’expert a en revanche procédé à une reconstitution sur la base des traces de freinage, du temps de réaction de l’automobiliste et du temps de montée en puissance des freins. Cette argumentation est complète et convaincante. Il n’existe dès lors pas d’éléments qui justifieraient que l’on s’écarte de la conclusion ainsi obtenue. On ne peut suivre A.________ lorsqu’il soutient que le point de choc doit, à tout le moins au bénéfice du doute, être situé après le panneau introduisant la limitation de vitesse à 60 km/heure. Certes, les débris ont été amassés dans une zone se trouvant entre 2 et</w:t>
      </w:r>
    </w:p>
    <w:p>
      <w:r>
        <w:rPr>
          <w:b/>
        </w:rPr>
        <w:t>E. 4.3</w:t>
      </w:r>
    </w:p>
    <w:p>
      <w:r>
        <w:t>Il résulte de ce qui précède et du plan effectué par la gendarmerie (P. 28) qu’à l’endroit de l’impact, la vitesse était limitée à 50 km/h et non pas à 60 km/h comme le plaide le prévenu.</w:t>
      </w:r>
    </w:p>
    <w:p>
      <w:r>
        <w:rPr>
          <w:b/>
        </w:rPr>
        <w:t>E. 4.4.1</w:t>
      </w:r>
    </w:p>
    <w:p>
      <w:r>
        <w:t>A.________ conteste la détermination de la vitesse de son véhicule effectuée par l’expert. Pour ce faire, il met en cause la fiabilité des mesures des traces de freinage et l’exactitude du report de celles-ci sur le plan de la gendarmerie, et ainsi, la fiabilité des réponses de l’expert au sujet desdites traces (cf. P. 63). Il reproche en outre au premier juge d’avoir retenu qu’à dire d’expert, il roulait à une vitesse comprise entre 76 et 83 km/h, en lieu et place de la vitesse d’environ 70 km/h retenue par la police, qui lui était plus favorable (P. 4).</w:t>
      </w:r>
    </w:p>
    <w:p>
      <w:r>
        <w:rPr>
          <w:b/>
        </w:rPr>
        <w:t>E. 4.4.2</w:t>
      </w:r>
    </w:p>
    <w:p>
      <w:r>
        <w:t>Dans la mesure où le prévenu n’a jamais vu le piéton et déclare qu’il se trouvait en phase d’accélération dès le passage à niveau, il y a lieu de conclure qu’il n’a pas freiné avant le choc mais seulement après. En l’espèce, comme l’invoque l’appelant, il est vrai que les policiers n’ont pas pris de photographies des lieux de l’accident, les seules photographies présentes au dossier étant celles de l’expert. Les policiers ont également admis dans un deuxième temps avoir inversé les longueurs des traces gauche et droite (P. 27). Cependant, cette inversion n’a aucune conséquence sur les faits à retenir. En outre, de telles traces sont marquées, puis mesurées à l’aide d’une chevillière. Dès lors, on ne voit pas en quoi l’absence de photographies ou de points de référence permettrait une mise en doute des longueurs mesurées. Ainsi, le terme « longueur voisine de », dont se plaint A.________, doit être compris comme « arrondi » ou « approximatif » et ne signifie pas en l’état que les traces n’ont pas été reportées de façon correcte. Les arguments de A.________ quant à l’exactitude du report des traces sur le plan de la gendarmerie sont purement théoriques. En effet, au vu de la situation du point de choc, de la situation du véhicule après son arrêt, de la fiabilité en règle générale de ce type de plans qui sont établis par des spécialistes de la gendarmerie et de l’absence d’éléments concrets justifiant une mise en doute des traces relevées, il y a lieu de retenir l’exactitude du plan de la gendarmerie (P. 28). Le fait que son auteur ait relevé l’inversion des traces gauche et droite ainsi que le fait que la distance parcourue par le véhicule après son arrêt soit plus élevé que la distance approximative indiquée dans le rapport écrit (P. 4) constituent d’ailleurs plutôt des indices supplémentaires de fiabilité.</w:t>
      </w:r>
    </w:p>
    <w:p>
      <w:r>
        <w:rPr>
          <w:b/>
        </w:rPr>
        <w:t>E. 4.4.4</w:t>
      </w:r>
    </w:p>
    <w:p>
      <w:r>
        <w:t>A.________ soutient avoir accéléré après le passage à niveau. Il en déduit ainsi que le calcul de l’expert ne tiendrait pas compte de cette accélération qui aurait « au moins compensé la perte de vitesse résultant du rapport des masses ». Par ce moyen, on voit mal où l’appelant veut en venir. En effet, la détermination a posteriori d’une vitesse est faite sur la base d’un raisonnement opéré à partir de traces de freinage, du temps de réaction de l’automobiliste et du temps de montée en pression des freins. Dès lors, rien ne permet de conclure qu’une accélération au moment du choc serait un élément de nature à influer sur le facteur de décélération du véhicule, d’autant que rien ne permet de supposer que l’accélération se soit poursuivie au-delà du point de choc.</w:t>
      </w:r>
    </w:p>
    <w:p>
      <w:r>
        <w:rPr>
          <w:b/>
        </w:rPr>
        <w:t>E. 4.4.5</w:t>
      </w:r>
    </w:p>
    <w:p>
      <w:r>
        <w:t>L’appelant soutient que le calcul de vitesse effectué par les gendarmes, soit 70 km/h (cf. P. 4), aurait dû être retenu dès lors qu’il est plus favorable au prévenu que le calcul de l’expert, qui conclut à une vitesse de 76 à 83 km/heure. La différence entre les deux calculs s’explique toutefois à un km/h près, par le fait que l’expert a pris en compte, par le calcul d’un rapport de masse, la perte de vitesse subie par la voiture lors du choc, soit une variation de vitesse de 5 à 6 km/heure. Cet élément n’avait pas été pris en compte par la gendarmerie. En conséquence, c’est à juste titre que le tribunal de première instance, en suivant le rapport de l’expert, a arrêté la vitesse de l’automobiliste A.________ à 76 km/h lors du choc avec le piéton W.________ et partant, a retenu un dépassement de vitesse de 26 km/h à l’intérieur d’une localité. 5. Le tribunal de première instance a retenu à l’encontre de A.________ une violation grave des règles de la circulation routière pour avoir circulé à une vitesse de 76 km/h à un endroit limité à 50 km/h, ce que l’appelant conteste. 5.1 Aux termes de l’art. 90 al. 2 LCR (Loi fédérale sur la circulation routière du 19 décembre 1958 ; RS 741.01), celui qui, par une violation grave d'une règle de la circulation, crée un sérieux danger pour la sécurité d'autrui ou en prend le risque est puni d'une peine privative de liberté de trois ans au plus ou d'une peine pécuniaire. Selon l’art. 4a al. 1 OCR (Ordonnance sur les règles de la circulation routière du 13 novembre 1962 ; RS 741.11), la vitesse maximale générale des véhicules peut atteindre, lorsque les conditions de la route, de la circulation et de visibilité sont favorables, 50 km/h dans les localités (let. a), 80 km/h hors de localités, à l’exception des semi-autoroutes et des autoroutes (let. b), 100 km/h sur les semi-autoroutes (let. c) et 120 km/h sur les autoroutes (let. d). L’art. 4a al. 5 OCR prescrit que lorsque des signaux indiquent d'autres vitesses maximales, celles-ci sont applicables en lieu et place des limitations générales de vitesse. L'infraction réprimée par l'art. 90 al. 2 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(TF 6B_3/2014 du 28 avril 2014 consid.</w:t>
      </w:r>
    </w:p>
    <w:p>
      <w:r>
        <w:rPr>
          <w:b/>
        </w:rPr>
        <w:t>E. 6</w:t>
      </w:r>
    </w:p>
    <w:p>
      <w:r>
        <w:t>Le prévenu A.________ a été libéré de l’infraction de lésions corporelles simples par négligence par le premier juge. Ce dernier a considéré que la cause première de l’accident était le comportement imprudent du piéton W.________, qui s’était élancé sur la route hors d’un passage protégé, sans remarquer ou sans tenir compte de l’arrivée du véhicule de A.________. Ce dernier n’avait dès lors aucune chance d’éviter le piéton.</w:t>
      </w:r>
    </w:p>
    <w:p>
      <w:r>
        <w:rPr>
          <w:b/>
        </w:rPr>
        <w:t>E. 6.1</w:t>
      </w:r>
    </w:p>
    <w:p>
      <w:r>
        <w:t>W.________ reproche au premier juge d’avoir rejeté sur lui toute la responsabilité de l’accident alors qu’il aurait été plus juste, selon lui, qu’en cas de libération de A.________ de l’infraction de lésions corporelles par négligence, de le libérer au bénéfice du doute.</w:t>
      </w:r>
    </w:p>
    <w:p>
      <w:r>
        <w:rPr>
          <w:b/>
        </w:rPr>
        <w:t>E. 6.2.1</w:t>
      </w:r>
    </w:p>
    <w:p>
      <w:r>
        <w:t>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 ATF 134 IV 255 consid. 4.2.3 ;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w:t>
      </w:r>
    </w:p>
    <w:p>
      <w:r>
        <w:rPr>
          <w:b/>
        </w:rPr>
        <w:t>E. 6.2.2</w:t>
      </w:r>
    </w:p>
    <w:p>
      <w:r>
        <w:t>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consid.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et les arrêts cités ; 122 IV 17 consid. 2c/bb).</w:t>
      </w:r>
    </w:p>
    <w:p>
      <w:r>
        <w:rPr>
          <w:b/>
        </w:rPr>
        <w:t>E. 6.2.3</w:t>
      </w:r>
    </w:p>
    <w:p>
      <w:r>
        <w:t>Selon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pas distraite. Le degré de l’attention requise par l’art. 3 al. 1 OCR s’apprécie au regard des circonstances d’espèce, telles que la densité du trafic, la configuration des lieux, l’heure, la visibilité et les sources de danger prévisibles (ATF 127 II 302 consid. 3c et arrêt cité). L’attention requise du conducteur implique qu’il soit en mesure de parer rapidement aux dangers qui menacent la vie, l’intégrité corporelle ou les biens matériels d’autrui (TF 6B_873/2014 du 5 janvier 2015 consid. 2.1 et arrêt cité).</w:t>
      </w:r>
    </w:p>
    <w:p>
      <w:r>
        <w:rPr>
          <w:b/>
        </w:rPr>
        <w:t>E. 6.2.4</w:t>
      </w:r>
    </w:p>
    <w:p>
      <w:r>
        <w:t>S’agissant de la vitesse, selon l’art. 32 al. 1 LCR, celle-ci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 TF 6B_873/2014 du 5 janvier 2015 consid. 2.1). Selon la jurisprudence, dans le cadre d’homicide ou de lésions corporelles par négligence en matière de circulation routière, il sied de prendre en compte la vitesse de l’automobiliste et de voir si cette dernière est adaptée, mais il n’est pas possible de déduire que cette vitesse – en l’espèce 40 km/h – est trop élevée uniquement en raison du comportement de la victime (arrêt TF 6B_409/2015 du 1 er juin 2015, consid. 2.3).</w:t>
      </w:r>
    </w:p>
    <w:p>
      <w:r>
        <w:rPr>
          <w:b/>
        </w:rPr>
        <w:t>E. 6.3</w:t>
      </w:r>
    </w:p>
    <w:p>
      <w:r>
        <w:t>En l’espèce, comme le relève le premier juge, il n’est pas remis en cause que W.________ a subi des lésions corporelles suite à l’accident. L’acte d’accusation ne reproche pas à A.________ de ne pas avoir vu W.________, l’inattention n’étant donc pas une cause des lésions corporelles subies par ce dernier. L’argument de W.________ tombe à faux sur ce point. S’agissant de la vitesse, il résulte de l’expertise que même si A.________ avait respecté la limitation de vitesse et qu’il avait effectué un freinage d’urgence, cela n’aurait pas été suffisant pour éviter le choc, raison pour laquelle le premier juge a retenu qu’au niveau spatial, un évitement n’était pas possible. Dans ces conditions, on ne peut retenir un lien de causalité naturelle entre la vitesse excessive et l’accident. C’est donc à juste titre que A.________ a été libéré de l’infraction de lésions corporelles par négligence. Le point de savoir dans quelle mesure la vitesse du véhicule de A.________ a joué un rôle dans la gravité des blessures de W.________ et, partant, dans quelle mesure cette vitesse doit être prise en compte dans la répartition des responsabilités relève du juge civil. En effet, dès le moment où les conditions de la punissabilité du conducteur pour lésions corporelles par négligence ne sont pas remplies, cette question, comme celles relevant de l’application des art. 58 et 59 LCR, n’ont pas à être tranchées dans le cadre de la présente procédure. Au surplus, le premier juge a retenu qu’au niveau temporel, une vitesse moindre laissait plus de temps au piéton pour traverser la chaussée et sortir de la zone de danger. Toutefois, cette hypothèse dépendait également de la vitesse de marche du piéton. Partant, les incertitudes quant à la vitesse de marche de W.________ constituent des éléments supplémentaires qui permettent de conclure à l’acquittement de A.________, à tout le moins au bénéfice du doute.</w:t>
      </w:r>
    </w:p>
    <w:p>
      <w:r>
        <w:rPr>
          <w:b/>
        </w:rPr>
        <w:t>E. 7</w:t>
      </w:r>
    </w:p>
    <w:p>
      <w:r>
        <w:t>A.________ a été condamné à une peine pécuniaire ferme de 30 jours-amende et le montant du jour-amende a été fixé à 40 francs. Le prénommé conteste la quotité de la peine au motif que le principe de célérité a été violé. Il résulte cependant des conclusions prises dans son mémoire d’appel qu’il admet le montant du jour-amende.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7.1.2</w:t>
      </w:r>
    </w:p>
    <w:p>
      <w:r>
        <w:t>L’art. 29 al. 1 Cst garantit à toute personne, dans une procédure judiciaire ou administrative, le droit à ce que sa cause soit traitée dans un délai raisonnable. A l’instar de l’art. 6 par. 1 CEDH (Convention de sauvegarde des droits de l’homme et des libertés fondamentales du 4 novembre 1950 ; RS 0.101),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130 I 312 consid. 5.2). Le principe de la célérité impose aux autorités, dès le moment où l'accusé est informé des soupçons qui pèsent sur lui, de mener la procédure pénale sans désemparer, afin de ne pas maintenir inutilement l'accusé dans les angoisses qu'elle suscite. II s'agit d'une exigence posée à l'égard des autorités pénales, qui se distingue de la circonstance atténuante du temps relativement long,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 ATF 117 IV 124 consid. 4d ; ATF 124 I 139 consid. 2a). La jurisprudence a ainsi créé praeter Iegem des sanctions autonomes de nature matérielle (ATF 130 IV 54).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w:t>
      </w:r>
    </w:p>
    <w:p>
      <w:r>
        <w:rPr>
          <w:b/>
        </w:rPr>
        <w:t>E. 7.2</w:t>
      </w:r>
    </w:p>
    <w:p>
      <w:r>
        <w:t>En l’espèce, au vu de la gravité objective du comportement routier de l’appelant, au surplus de nuit dans un endroit dangereux en raison du passage à niveau se trouvant à une sortie de localité et nonobstant qu’il soit libéré de l’infraction de lésions corporelles par négligence, la peine prononcée par le premier juge est tout à fait justifiée ; elle apparaît même modeste, au regard des principes résumés ci-dessus et de la culpabilité de l’appelant, en présence d’un cumul d’infractions. Il résulte des conclusions prises que la quotité du jour-amende est admise. Le sursis n’est pas remis en cause. Il faut certes consentir à l’appelant que presque six ans se sont écoulés entre l’accident et les débats de première instance, alors que le délai de prescription est de sept ans, et que le principe de la célérité a en conséquence été violé. Il faut le constater et il ne suffit pas de tenir compte de l’ancienneté des faits comme l’a fait le premier juge. Il y aurait donc lieu en principe de réduire la peine pour tenir compte des principes résumés plus haut. Cela étant, la peine de 30 jours prononcée par le premier juge étant inférieur à celle que la Cour d’appel aurait prononcée en application de son plein pouvoir d’appréciation, la mention du principe de la célérité ne peut avoir pour conséquence une diminution de la peine. Quant à l’art. 48 let. e CP, il ne peut s’appliquer dans le cas d’espèce, la seule violation du principe de la célérité ne permettant pas de considérer que l’intérêt à punir ait sensiblement diminué ; ici, le premier juge a déjà tenu compte de la problématique, en constatant que le temps écoulé ne laissait plus la place à une amende à titre de sanction immédiate. Il s’ensuit que la peine de trente jours-amende prononcée par le premier juge dans le jugement attaqué doit être confirmée. Il en va de même du montant du jour-amende, fixé à 40 fr., ainsi que de l’octroi du sursis avec un délai d’épreuve de deux ans. III. Conclusions civiles, frais et indemnité de première instance</w:t>
      </w:r>
    </w:p>
    <w:p>
      <w:r>
        <w:rPr>
          <w:b/>
        </w:rPr>
        <w:t>E. 8</w:t>
      </w:r>
    </w:p>
    <w:p>
      <w:r>
        <w:t>A.________ fait grief au premier juge d’avoir renvoyé W.________ à agir devant le juge civil pour ses prétentions contre lui et conclut donc au rejet de l’ensemble des conclusions civiles de ce dernier.</w:t>
      </w:r>
    </w:p>
    <w:p>
      <w:r>
        <w:rPr>
          <w:b/>
        </w:rPr>
        <w:t>E. 8.1</w:t>
      </w:r>
    </w:p>
    <w:p>
      <w:r>
        <w:t>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(Roland Brehm, La responsabilité civile automobile, 2 e éd., Berne 2010, ch. 8 p. 4).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Le fardeau de la preuve incombe au détenteur qui entend s'exonérer de sa responsabilité (arrêt TF 4A_699/2012 du 27 mai 2013 consid. 3.1 ; Oftinger/Stark, Schweizerisches Haftpflichtrecht, Besonderer Teil, vol. II/2, 4 e éd., 1989, p. 282, n°646 et 647 et p. 182 n°427).</w:t>
      </w:r>
    </w:p>
    <w:p>
      <w:r>
        <w:rPr>
          <w:b/>
        </w:rPr>
        <w:t>E. 8.2</w:t>
      </w:r>
    </w:p>
    <w:p>
      <w:r>
        <w:t>En l’espèce, nonobstant la faute consistant pour le piéton à traverser de nuit une route sans visibilité et l’acquittement de l’automobiliste s’agissant de l’infraction de lésions corporelles par négligence, le principe demeure celui de la responsabilité du détenteur du véhicule impliqué selon l’art. 58 al. 1 LCR. De plus, au vu de la gravité de l’excès de vitesse commis, il n’est pas envisageable de considérer à ce stade que le conducteur n’aurait commis aucune faute au sens de l’art. 59 al. 1 LCR. Il résulte par ailleurs de l’expertise que la vitesse du véhicule de A.________ était susceptible d’avoir joué un rôle dans la gravité des blessures de W.________ et cela, même si le choc ne pouvait pas être évité. Il sied donc de confirmer le jugement de première instance sur ce point et de renvoyer les parties devant le juge civil s’agissant des conclusions civiles de W.________ dans la mesure où on ne saurait en rejeter la totalité en l’état.</w:t>
      </w:r>
    </w:p>
    <w:p>
      <w:r>
        <w:rPr>
          <w:b/>
        </w:rPr>
        <w:t>E. 9</w:t>
      </w:r>
    </w:p>
    <w:p>
      <w:r>
        <w:t>A.________ soutient qu’il ne devait être condamné à payer qu’une petite partie des frais de première instance, à hauteur de 300 francs.</w:t>
      </w:r>
    </w:p>
    <w:p>
      <w:r>
        <w:rPr>
          <w:b/>
        </w:rPr>
        <w:t>E. 9.1</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arrêt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arrêt TF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du 19 juillet 2013 consid. 1.1 ; TF 6B_99/2011 du 13 septembre 2011 consid.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du 27 avril 2012 consid. 1.2). Selon la jurisprudence, la condamnation d’un prévenu acquitté à supporter tout ou partie des frais, respectivement le refus de lui allouer une indemnisation à raison du préjudice subi par la procédure pénale, doit respecter la présomption d’innocence consacrée par l’art. 10 al. 1 CPP, 32 al. 1 Cst et 6 par. 2 CEDH. Celle-ci interdit de rendre une décision défavorable au prévenu libéré en laissant entendre que ce dernier serait néanmoins coupable des infractions qui lui étaient reprochées (arrêt TF 6B_300/2012 du 10 juin 2013 consid. 2.4 et réf. citées ; 6B_391/2014 du 18 septembre 2014 consid. 2.2). Une condamnation aux frais, respectivement un refus d’indemnisation, n’est ainsi admissible que si le prévenu a provoqué l’ouverture de la procédure pénale dirigée contre lui ou s’il en a entravé le cours.</w:t>
      </w:r>
    </w:p>
    <w:p>
      <w:r>
        <w:rPr>
          <w:b/>
        </w:rPr>
        <w:t>E. 9.2</w:t>
      </w:r>
    </w:p>
    <w:p>
      <w:r>
        <w:t>En l’espèce, il s’agit d’un seul ensemble de faits, constitué d’un accident de la circulation dans le cadre duquel deux infractions graves à la circulation routière ont été commises par le conducteur, soit une conduite en état d’ébriété et un excès de vitesse. Initialement, l’enquête a en outre porté sur la contravention commise par le piéton. Si, comme le relève A.________, on peut admettre que peu d’actes d’instruction ont été effectués concernant l’infraction de conduite en état d’ébriété, tel n’est pas le cas de l’excès de vitesse. Le fait que le prévenu ait finalement été acquitté d’une infraction supplémentaire, soit les lésions corporelles par négligence dans le cadre du même ensemble de fait, a été pris en compte par le premier juge dans la mesure où il a mis à la charge du prévenu moins de la moitié des frais de la cause. En effet, les frais d’expertise, par 7'231 fr., ont été laissés à la charge de l’Etat alors que seuls 5'058 fr. 60, soit l’équivalent de 41% du total des frais, ont été mis à la charge du prévenu condamné. Dès lors, la part des frais mise à la charge du prévenu est notablement insuffisante si l’on considère qu’un grand investissement a été opéré sur la question de la vitesse et sur celle du point de choc, qui conditionnait la question de la vitesse. A l’inverse, la question de la visibilité a fait l’objet d’un investissement moindre et, finalement, si le prévenu a été acquitté de l’infraction de lésions corporelles par négligence, c’est en raison de l’importante faute du piéton. Partant, c’est à raison que le premier juge a mis 5'058 fr. 60 de frais à la charge de A.________.</w:t>
      </w:r>
    </w:p>
    <w:p>
      <w:r>
        <w:rPr>
          <w:b/>
        </w:rPr>
        <w:t>E. 10</w:t>
      </w:r>
    </w:p>
    <w:p>
      <w:r>
        <w:t>A.________ a pris des conclusions tendant à l'allocation d'une indemnité de 23'442 fr. 05 pour la procédure de première instance fondée sur l'art. 429 CPP.</w:t>
      </w:r>
    </w:p>
    <w:p>
      <w:r>
        <w:rPr>
          <w:b/>
        </w:rPr>
        <w:t>E. 10.1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10.2</w:t>
      </w:r>
    </w:p>
    <w:p>
      <w:r>
        <w:t>En l’espèce, au vu de la jurisprudence citée ci-dessus (cf. consid. 9) tendant au parallélisme entre la décision sur les frais et celle sur l’indemnité, et dans la mesure où il a été libéré de l’infraction de lésions corporelles par négligence, A.________, peut donc prétendre à une indemnité pour les dépenses obligatoires occasionnées par cette phase de la procédure. Au vu de l'ensemble des circonstances, il convient d'arrêter cette indemnité à un tiers des dépenses occasionnés pour l’exercice raisonnable de ses droits de procédure, soit à 8'000 francs. IV. Synthèse, frais et indemnités</w:t>
      </w:r>
    </w:p>
    <w:p>
      <w:r>
        <w:rPr>
          <w:b/>
        </w:rPr>
        <w:t>E. 11</w:t>
      </w:r>
    </w:p>
    <w:p>
      <w:r>
        <w:t>En définitive, l’appel de W.________ doit être rejeté, tandis que l’appel de A.________ doit être partiellement admis. Le jugement sera réformé en ce sens qu’une indemnité de 8'000 fr. est allouée à A.________ pour les dépenses occasionnées par l’exercice raisonnable de ses droits de procédure. Cette indemnité sera compensée avec les frais de justice, de première et deuxième instance, mis à la charge de A.________, en application de l'art. 442 al. 4 CPP. Vu l’issue de la cause, les frais d'appel, par 3’260 fr., constitués de l'émolument de jugement (art. 21 al. 1 et 2 TFIP [Tarif des frais de procédure et indemnités en matière pénale du 28 septembre 2010 ; RSV 312.03.1]), seront mis pour un tiers à la charge de A.________ et pour un tiers à la charge de W.________, le solde étant laissé à la charge de l’Etat. Aucune indemnité ne sera allouée à W.________ dans la mesure où ce dernier succombe entièrement. L’appel de A.________ étant rejeté à l’exception de l’octroi de l’indemnité au sens de l’art. 429 CPP pour la procédure de première instance, il n’y pas matière à indemniser le prévenu selon cet article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