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75 vom 3. November 2015</w:t>
      </w:r>
    </w:p>
    <w:p>
      <w:r>
        <w:t>VD Tribunal cantonal, 2015-11-03, FR</w:t>
      </w:r>
    </w:p>
    <w:p>
      <w:r>
        <w:rPr>
          <w:b/>
        </w:rPr>
        <w:t xml:space="preserve">Quelle: </w:t>
      </w:r>
      <w:r>
        <w:t>https://mcp.opencaselaw.ch/entscheid/vd_findinfo_Jug___2016___75</w:t>
      </w:r>
    </w:p>
    <w:p>
      <w:r>
        <w:t>FR: VD_FINDINFO Jug / 2016 / 75 du 3 novembre 2015</w:t>
      </w:r>
    </w:p>
    <w:p>
      <w:r>
        <w:t>IT: VD_FINDINFO Jug / 2016 / 75 del 3 novembre 2015</w:t>
      </w:r>
    </w:p>
    <w:p>
      <w:pPr>
        <w:pStyle w:val="Heading2"/>
      </w:pPr>
      <w:r>
        <w:t>Regeste</w:t>
      </w:r>
    </w:p>
    <w:p>
      <w:r>
        <w:t>TRAVAIL D'INTÉRÊT GÉNÉRAL, VIOLATION D'UNE OBLIGATION D'ENTRETIEN, RÉVOCATION DU SURSIS, PROLONGATION | 217 CP, 37 CP, 46 al. 2 CP, 47 CP</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José Oliveira Cardoso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Si dans sa déclaration d’appel, S.T.________ a indiqué contester l’ensemble du jugement, à l’audience d’appel, il n’a toutefois, à juste titre, pas fait plaider que les éléments constitutifs de l’art. 217 al. 1 CP, qui punit, sur plainte, celui qui n’aura pas fourni les aliments ou les subsides qu’il doit en vertu du droit de la famille, quoiqu’il en eût les moyens ou pût les avoir, n’étaient pas réalisés. En effet, comme l’a retenu le premier juge, le prévenu, qui a admis les faits qui lui sont reprochés, est à même de réaliser un revenu de l’ordre de 3'600 fr. brut par mois, ce qui, déduction faite de son minimum vital, lui permet de payer les contributions d’entretien dues. En outre, il a déjà été condamné à deux reprises pour des faits similaires, ce qui démontre qu’en l’espèce, il n’avait pas l’intention de verser les sommes dues. Certes, l’appelant a produit des pièces établissant qu’il a effectué des recherches en vue de trouver un emploi. On ne peut toutefois que constater que le prévenu n’a entrepris ces démarches qu’à partir du 10 septembre 2015, soit postérieurement à la période concernée par la violation d’une obligation d’entretien. On ne saurait donc considérer que l’intéressé a rempli ses obligations à l’époque où il devait les remplir, respectivement qu’il a fait les efforts pouvant raisonnablement être exigés de lui. Il s’ensuit que la condamnation de S.T.________ pour violation d’une obligation d’entretien (art. 217 al. 1 CP) est conforme au droit fédéral.</w:t>
      </w:r>
    </w:p>
    <w:p>
      <w:r>
        <w:rPr>
          <w:b/>
        </w:rPr>
        <w:t>E. 4.1</w:t>
      </w:r>
    </w:p>
    <w:p>
      <w:r>
        <w:t>L’appelant demande à ce qu’il ne soit pas condamné à une peine privative de liberté de 90 jours, sans étayer davantage sa conclusion. Ce moyen implique cependant d’examiner tant la quotité que le genre de la peine prononcée. 4.2.1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 4.2.3 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consid. 6.3.2).</w:t>
      </w:r>
    </w:p>
    <w:p>
      <w:r>
        <w:rPr>
          <w:b/>
        </w:rPr>
        <w:t>E. 4.3</w:t>
      </w:r>
    </w:p>
    <w:p>
      <w:r>
        <w:t>En l’espèce, la quotité de la peine privative de liberté prononcée par le premier juge, soit 90 jours, correspond à la culpabilité de l’appelant eu égard aux éléments à charge et à décharge pris en compte par le tribunal. Ce dernier a en effet considéré que la culpabilité de S.T.________ était lourde. A charge, il a retenu que depuis de nombreuses années, le prénommé s’obstinait à ne pas contribuer à l’entretien de ses enfants et ne faisait aucun effort pour améliorer sa situation financière. Il y avait récidive. A décharge le premier juge a retenu la situation personnelle du prévenu. Ainsi, la quotité de la peine privative de liberté prononcée par le premier juge est adéquate et ne porte pas le flanc à la critique. Elle peut donc être confirmée par adoption de motifs exposés. Cela étant, à l’audience d’appel, le prévenu a consenti à exécuter sa sanction sous la forme d’un travail d’intérêt général. Dans la mesure où ce dernier est apte au travail et disposé à fournir cette prestation, le prononcé d’une peine de travail d’intérêt général est justifié. La quotité de 90 jours de peine privative de liberté déjà confirmée équivaut à 360 heures de travail d’intérêt général selon la clé de conversion prévue par l’art. 39 al. 2 CP. Il découle de ce qui précède que c’est une peine de 360 heures de travail d’intérêt général qui doit être prononcée.</w:t>
      </w:r>
    </w:p>
    <w:p>
      <w:r>
        <w:rPr>
          <w:b/>
        </w:rPr>
        <w:t>E. 5.1</w:t>
      </w:r>
    </w:p>
    <w:p>
      <w:r>
        <w:t>L’appelant conclut à une peine assortie du sursis. Il fait plaider en substance le fait qu’il a effectué de nombreuses recherches d’emploi qui n’ont pas abouti, probablement en raison de son casier judiciaire, de ses origines et du marché infructueux de l’emploi, qu’il a donné entière satisfaction dans les divers emplois accomplis, que des démarches en vue d’une modification du jugement de divorce allaient être effectuées, qu’il avait de très bons contacts avec sa fille et qu’il cherchait un appartement pour recevoir ses enfants. Selon lui, l’ensemble de ces éléments permettrait de poser un pronostic favorable pour l’avenir, de sorte que le sursis devrait lui être octroyé, ce qui lui permettrait de surcroît de travailler pour gagner de l’argent. L’appelant conclut en outre à la non-révocation des sursis précédents. 5.2.1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et 4.2.2). 5.2.2 La commission d’un crime ou d’un délit durant le délai d’épreuve n’entraîne pas nécessairement une révocation du sursis (cf. art. 46 al. 1 et 2 CP).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consid. 4.5).</w:t>
      </w:r>
    </w:p>
    <w:p>
      <w:r>
        <w:rPr>
          <w:b/>
        </w:rPr>
        <w:t>E. 5.3</w:t>
      </w:r>
    </w:p>
    <w:p>
      <w:r>
        <w:t>En l’espèce, pour ce qui est du sursis à l’exécution de la peine, celui-ci est exclu, le pronostic à poser quant au comportement futur de l’appelant étant incontestablement défavorable. On relèvera que le casier judiciaire de S.T.________ comporte déjà trois condamnations, dont deux pour des faits similaires, ce qui ne dénote aucun changement positif dans la situation de l’intéressé. L’appelant présente au contraire un sentiment d’impunité en lien avec ses précédentes condamnations. Il est par conséquent évident que l’octroi du sursis doit être refusé, seule une peine ferme étant apte à empêcher le risque de récidive. Cela étant, l’examen de la condition du sursis pour la révocation au sens de l’art. 46 al. 1 et 2 CP conduit à établir que le pronostic quant au comportement futur de l’appelant n’est pas défavorable. On peut en effet espérer que la seule exécution d’une peine de 360 heures de travail d’intérêt général suffira à dissuader l’intéressé de commettre de nouvelles infractions. A cela s’ajoute que l’appelant semble enfin entreprendre des démarches sérieuses en vue de trouver un emploi. Par conséquent, les sursis accordés à S.T.________ les 27 septembre 2013 par le Ministère public de l’arrondissement de La Côte et 7 novembre 2013 par le Ministère public du canton de Genève ne seront pas révoqués. Cela étant, les délais d'épreuve assortissant ces précédents sursis doivent être prolongés en application de l'art. 46 al. 2, 2 e phrase, CP, ce pour une durée d’un an s’agissant du sursis accordé le 27 septembre 2013 et d’un an et demi s’agissant du sursis accordé le 7 novembre 2013, à compter du prononcé du présent jugement (art. 46 al. 2, 4 e phrase, CP).</w:t>
      </w:r>
    </w:p>
    <w:p>
      <w:r>
        <w:rPr>
          <w:b/>
        </w:rPr>
        <w:t>E. 6</w:t>
      </w:r>
    </w:p>
    <w:p>
      <w:r>
        <w:t>Compte tenu de la confirmation de sa condamnation, il convient de rejeter la conclusion de l’appelant tendant à ce qu’il ne soit pas donné acte au Service L.________ du canton de Vaud de ses réserves civiles. Pour le même motif, il n’y a pas matière à revoir la mise à la charge du prévenu des frais judiciaires de première instance (art. 426 al. 1 CPP).</w:t>
      </w:r>
    </w:p>
    <w:p>
      <w:r>
        <w:rPr>
          <w:b/>
        </w:rPr>
        <w:t>E. 7</w:t>
      </w:r>
    </w:p>
    <w:p>
      <w:r>
        <w:t>En définitive, l’appel de S.T.________ doit être partiellement admis et le jugement attaqué réformé dans le sens des considérants qui précèdent. Vu l'issue de la cause, l'émolument d’appel (art. 21 al. 1 et 2 TFIP [Tarif des frais de procédure et indemnités en matière pénale du 28 septembre 2010; RSV 312.03.1]), par 1'390 fr., sera mis à raison des trois quarts à la charge de l’appelant, qui succombe dans une large mesure (art. 428 al. 1 CPP), le solde étant laissé à la charge de l’Etat (art. 423 al. 1 CPP). Délibérant immédiatement et à huis clos, la Cour d’appel pénale appliquant les art. 37, 46 al. 2, 47, 217 CP et 398 ss CPP, prononce : I. L’appel est partiellement admis. II. Le jugement rendu le 3 novembre 2015 par le Tribunal de police de l’arrondissement de l’Est vaudois est modifié d’office comme il suit aux chiffres I, II de son dispositif et par l’ajout d’un chiffre III nouveau, le dispositif du jugement étant désormais le suivant : " I. condamne S.T.________ pour violation d’une obligation d’entretien à 360 (trois cent soixante) heures de travail d’intérêt général; II. renonce à révoquer les sursis accordés à S.T.________ les 27 septembre 2013 par le Ministère public de l’arrondissement de La Côte et 7 novembre 2013 par le Ministère public du canton de Genève; III. prolonge d’un an le sursis assortissant la peine prononcée le 27 septembre 2013 et d’un an et demi celui assortissant la peine prononcée le 7 novembre 2013; IV. donne acte de ses réserves civiles au Service L.________ de Vaud; V. met les frais, par 1'150 fr., à la charge de S.T.________." III. Les frais d'appel, par 1'390 fr., sont mis par trois quarts à la charge de S.T.________, soit par 1'042 fr. 50, le solde étant laissé à la charge de l’Etat. IV. Le jugement motivé est exécutoire. Le président :              La greffière : Du</w:t>
      </w:r>
    </w:p>
    <w:p>
      <w:r>
        <w:rPr>
          <w:b/>
        </w:rPr>
        <w:t>E. 12</w:t>
      </w:r>
    </w:p>
    <w:p>
      <w:r>
        <w:t>février 2016 Le dispositif du jugement qui précède est communiqué à l’appelant et aux autres intéressés. La greffière : Du Le jugement qui précède, dont la rédaction a été approuvée à huis clos, est notifié, par l'envoi d'une copie complète, à : - Me Claudette Olivia Forest, avocate (pour S.T.________), - Service L.________, - Ministère public central, une copie du dispositif est adressée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