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73 vom 16. Juni 2015</w:t>
      </w:r>
    </w:p>
    <w:p>
      <w:r>
        <w:t>VD Tribunal cantonal, 2015-06-16, FR</w:t>
      </w:r>
    </w:p>
    <w:p>
      <w:r>
        <w:rPr>
          <w:b/>
        </w:rPr>
        <w:t xml:space="preserve">Quelle: </w:t>
      </w:r>
      <w:r>
        <w:t>https://mcp.opencaselaw.ch/entscheid/vd_findinfo_Jug___2016___73</w:t>
      </w:r>
    </w:p>
    <w:p>
      <w:r>
        <w:t>FR: VD_FINDINFO Jug / 2016 / 73 du 16 juin 2015</w:t>
      </w:r>
    </w:p>
    <w:p>
      <w:r>
        <w:t>IT: VD_FINDINFO Jug / 2016 / 73 del 16 giugno 2015</w:t>
      </w:r>
    </w:p>
    <w:p>
      <w:pPr>
        <w:pStyle w:val="Heading2"/>
      </w:pPr>
      <w:r>
        <w:t>Regeste</w:t>
      </w:r>
    </w:p>
    <w:p>
      <w:r>
        <w:t>IN DUBIO PRO REO, VIOLATION DES DEVOIRS EN CAS D'ACCIDENT | 92 al. 1 LCR, 10 CPP (CH)</w:t>
      </w:r>
    </w:p>
    <w:p>
      <w:pPr>
        <w:pStyle w:val="Heading2"/>
      </w:pPr>
      <w:r>
        <w:t>Erwägungen</w:t>
      </w:r>
    </w:p>
    <w:p>
      <w:r>
        <w:rPr>
          <w:b/>
        </w:rPr>
        <w:t>E. 1</w:t>
      </w:r>
    </w:p>
    <w:p>
      <w:r>
        <w:t>Compte tenu de la convention de ce jour et des retraits de plaintes intervenus, l’appel de H.________ est sans objet. Seules demeurent à examiner les infractions poursuivies d’office pour lesquelles W.________ a été condamné et qu’il conteste aux termes de son appel joint. En l’occurrence, interjeté dans les forme et délais légaux contre le jugement d’un tribunal de première instance ayant clos la procédure (cf. art. 398 al. 1 CPP), cet appel joint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W.________ conteste avoir volontairement renversé H.________ puis tenté de le faire une seconde fois, comme l’a retenu le premier juge. Il conteste également avoir déposé plainte contre H.________ en le sachant innocent.</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3.2</w:t>
      </w:r>
    </w:p>
    <w:p>
      <w:r>
        <w:t>W.________ soutient en substance que H.________ aurait délibérément sauté sur le capot de sa voiture alors qu’il roulait à proximité de lui. Il affirme également qu’il n’aurait pas tenté de le renverser à nouveau et que H.________ s’était placé au milieu de la route pour le provoquer. Contrairement à ce que le Tribunal a retenu, cette version ne saurait être moins convaincante que celle donnée par H.________. Le premier juge a relevé que les explications données tant par H.________ que par W.________ n’avaient pas parues des plus exhaustives et honnêtes et que H.________ n’avait pas été d’une transparence complète. H.________ n’a en outre souffert que d’une dermabrasion en regard de la rotule gauche avec une légère tuméfaction au genou et ne se plaignait plus de douleurs trois heures après les faits, ce qui n’est pas incompatible avec le fait d’avoir volontairement sauté sur le capot d’une voiture circulant à faible vitesse. Cela contredit en outre manifestement les déclarations de H.________ et de son ami [...] selon lesquelles le prévenu circulait à 40 km/h : à une telle vitesse, les blessures subies par H.________ auraient été plus graves. A cela s’ajoute qu’un conflit ancien oppose les deux jeunes hommes qui se sont provoqués les jours précédents. Force est de considérer que les versions des parties demeurent irrémédiablement contradictoires et qu’il subsiste un doute quant aux circonstances dans lesquelles H.________ a sauté sur le capot du véhicule de W.________ avant d’en heurter le pare-brise. Ce doute doit profiter à W.________ qui doit en conséquence être libéré des chefs d’accusation de lésions corporelles simples qualifiées, mais également de tentative de lésions corporelles simples qualifiées et de dénonciation calomnieuse. On relèvera au demeurant que les lésions subies par H.________ n’apparaissent pas suffisamment caractérisées au regard de l’art. 123 CP et sont constitutives tout au plus de voies de fait qui ne peuvent être poursuivies compte tenu du retrait de plainte.</w:t>
      </w:r>
    </w:p>
    <w:p>
      <w:r>
        <w:rPr>
          <w:b/>
        </w:rPr>
        <w:t>E. 4</w:t>
      </w:r>
    </w:p>
    <w:p>
      <w:r>
        <w:t>W.________ conteste s’être rendu coupable de violation des devoirs en cas d’accident.</w:t>
      </w:r>
    </w:p>
    <w:p>
      <w:r>
        <w:rPr>
          <w:b/>
        </w:rPr>
        <w:t>E. 4.1</w:t>
      </w:r>
    </w:p>
    <w:p>
      <w:r>
        <w:t>L’art. 92 al. 1 LCR (Loi fédérale sur la circulation routière du 19 décembre 1958 ; RS 741.01) prévoit qu’est puni de l'amende quiconque viole, lors d'un accident, les obligations que lui impose la présente loi. Selon l’alinéa 2 de cette disposition, le conducteur qui prend la fuite après avoir tué ou blessé une personne lors d'un accident de la circulation est puni d'une peine privative de liberté de trois ans au plus ou d'une peine pécuniaire. Ne doit pas être considérée comme « blessée » la victime qui n’a subi que des dommages corporels insignifiants, pratiquement sans conséquence et dont il n’y a pratiquement pas lieu de s’occuper (Jeanneret, Les dispositions pénales de la Loi sur la circulation routière, Berne 2007, n. 56 ad art. 92 LCR et les références citées; Bussy et al., Code suisse de la circulation routière, Bâle 2015, n. 2.2.c ad art. 92 LCR).</w:t>
      </w:r>
    </w:p>
    <w:p>
      <w:r>
        <w:rPr>
          <w:b/>
        </w:rPr>
        <w:t>E. 4.2</w:t>
      </w:r>
    </w:p>
    <w:p>
      <w:r>
        <w:t>En l’espèce, dès lors que son véhicule était impliqué dans l’incident, W.________ ne devait pas quitter les lieux sans faire appel à la police, quand bien même H.________ s’était relevé. La violation qualifiée prévue par l’art. 92 al. 1 LCR ne sera toutefois pas retenue à sa charge, dans la mesure où la lésion subie par H.________ doit d’une part être qualifiée d’insignifiante au regard de la doctrine précitée et qu’elle est d’autre part survenue dans des circonstances qui demeurent indéterminées. Partant, W.________ sera reconnu coupable de violation simple des devoirs en cas d’accident au sens de l’art. 92 al. 1 LCR.</w:t>
      </w:r>
    </w:p>
    <w:p>
      <w:r>
        <w:rPr>
          <w:b/>
        </w:rPr>
        <w:t>E. 5</w:t>
      </w:r>
    </w:p>
    <w:p>
      <w:r>
        <w:t>Il reste à déterminer la peine à infliger au prévenu.</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En l’occurrence, W.________ s’est rendu coupable de violation des devoirs en cas d’accident. Compte tenu des circonstances, une amende de 300 fr. convertible en une peine privative de liberté de trois jours sanctionne adéquatement son comportement.</w:t>
      </w:r>
    </w:p>
    <w:p>
      <w:r>
        <w:rPr>
          <w:b/>
        </w:rPr>
        <w:t>E. 6</w:t>
      </w:r>
    </w:p>
    <w:p>
      <w:r>
        <w:t>Aux termes de son appel joint, W.________ a contesté la mise à sa charge d’une partie des frais de première instance. Compte tenu du comportement fautif qu’il a adopté, il lui incombe de supporter ces frais. Il en a au demeurant admis tant le principe que le montant aux termes du chiffre IV de la convention qu’il a signée ce jour.</w:t>
      </w:r>
    </w:p>
    <w:p>
      <w:r>
        <w:rPr>
          <w:b/>
        </w:rPr>
        <w:t>E. 7</w:t>
      </w:r>
    </w:p>
    <w:p>
      <w:r>
        <w:t>Il convient de prendre acte de la convention signée à l’audience de ce jour pour valoir jugement partiel. Le jugement rendu le 16 juin 2015 sera modifié en conséquence. En particulier, compte tenu du retrait de plainte de W.________, la cessation de la poursuite pénale dirigée contre H.________ pour voies de fait et injures sera ordonnée. Pour les mêmes motifs retenus ci-dessus s’agissant de W.________ (consid. 6), H.________ devra supporter les frais de première instance tels que le premier juge les a mis à sa charge.</w:t>
      </w:r>
    </w:p>
    <w:p>
      <w:r>
        <w:rPr>
          <w:b/>
        </w:rPr>
        <w:t>E. 8</w:t>
      </w:r>
    </w:p>
    <w:p>
      <w:r>
        <w:t>En définitive, l'appel joint interjeté par W.________ doit être partiellement admis et le jugement de première instance modifié dans le sens des considérants qui précèdent.</w:t>
      </w:r>
    </w:p>
    <w:p>
      <w:r>
        <w:rPr>
          <w:b/>
        </w:rPr>
        <w:t>E. 9</w:t>
      </w:r>
    </w:p>
    <w:p>
      <w:r>
        <w:t>Au vu de l’examen du dossier et des opérations nécessaires à la défense des intérêts de son client pour la procédure d’appel, le temps annoncé par Me Ludovic Tirelli, qui comprend entre autres 5 heures d’étude du dossier, est quelque peu excessif. En conséquence, une indemnité de 2’127 fr. 60 (correspondant à une activité de 10 heures) lui sera allouée, ce montant comprenant une vacation, 50 fr. de débours, ainsi que la TVA. Vu l'issue de la cause, les frais de la procédure d'appel, par 3'517 fr. 60, constitués en l’espèce de l'émolument d’arrêt, par 1’390 fr. (art. 21 al. 1 et 2 TFIP [Tarif des frais de procédure et indemnités en matière pénale du 28 septembre 2010, RSV 312.03.1]) et de l’indemnité allouée au défenseur d’office de W.________, seront entièrement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