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61 vom 23. September 2015</w:t>
      </w:r>
    </w:p>
    <w:p>
      <w:r>
        <w:t>VD Tribunal cantonal, 2015-09-23, FR</w:t>
      </w:r>
    </w:p>
    <w:p>
      <w:r>
        <w:rPr>
          <w:b/>
        </w:rPr>
        <w:t xml:space="preserve">Quelle: </w:t>
      </w:r>
      <w:r>
        <w:t>https://mcp.opencaselaw.ch/entscheid/vd_findinfo_Jug___2016___61</w:t>
      </w:r>
    </w:p>
    <w:p>
      <w:r>
        <w:t>FR: VD_FINDINFO Jug / 2016 / 61 du 23 septembre 2015</w:t>
      </w:r>
    </w:p>
    <w:p>
      <w:r>
        <w:t>IT: VD_FINDINFO Jug / 2016 / 61 del 23 settembre 2015</w:t>
      </w:r>
    </w:p>
    <w:p>
      <w:pPr>
        <w:pStyle w:val="Heading2"/>
      </w:pPr>
      <w:r>
        <w:t>Regeste</w:t>
      </w:r>
    </w:p>
    <w:p>
      <w:r>
        <w:t>ESCROQUERIE, SÉCURITÉ SOCIALE, VIOLATION D'UNE OBLIGATION D'ENTRETIEN, SURSIS PARTIEL À L'EXÉCUTION DE LA PEINE, ASTUCE | 146 CP, 217 al. 1 CP, 43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R.________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Invoquant une violation du principe de l’arbitraire, l’appelant se plaint de la libération de son ex-épouse et co-prévenue, A.T.________ quant à l’infraction d’escroquerie aux services sociaux.</w:t>
      </w:r>
    </w:p>
    <w:p>
      <w:r>
        <w:rPr>
          <w:b/>
        </w:rPr>
        <w:t>E. 3.2</w:t>
      </w:r>
    </w:p>
    <w:p>
      <w:r>
        <w:t>Selon l’art. 381 al. 1 CPP, le Ministère public peut interjeter recours tant en faveur qu’en défaveur du prévenu ou du condamné. Au sens de l’art. 382 al. 1 CPP, toute partie qui a un intérêt juridiquement protégé à l’annulation ou à la modification d’une décision a qualité pour recourir contre celle-ci. L’intérêt en question doit être juridique et direct. La partie recourante doit démontrer en quoi la décision attaquée viole une règle de droit destinée à protéger ses intérêts et en quoi elle en déduit un droit subjectif (Moreillon/Parein-Reymond, Code de procédure pénale, Petit commentaire, Bâle 2013, n. 2-3 ad art. 382 CPP).</w:t>
      </w:r>
    </w:p>
    <w:p>
      <w:r>
        <w:rPr>
          <w:b/>
        </w:rPr>
        <w:t>E. 3.3</w:t>
      </w:r>
    </w:p>
    <w:p>
      <w:r>
        <w:t>En l’espèce, l’appelant tente de démontrer que le jugement entrepris est trop sévère à son encontre en contestant la libération de son ex-épouse. C’est irrecevable. En effet, au vu des art. 381 et 382 CPP, seul le Ministère public était légitimé à recourir contre la libération de A.T.________, ce qu’il n’a, en l’occurrence, pas fait. Pour le surplus, l’appelant ne dispose d’aucun intérêt juridiquement protégé à recourir contre la libération de sa co-prévenue. Ce moyen est donc sans portée.</w:t>
      </w:r>
    </w:p>
    <w:p>
      <w:r>
        <w:rPr>
          <w:b/>
        </w:rPr>
        <w:t>E. 4.1</w:t>
      </w:r>
    </w:p>
    <w:p>
      <w:r>
        <w:t>Si l’appelant admet s’être rendu coupable de faux dans les titres, il conteste en revanche l’infraction d’escroquerie, soutenant qu’elle ne serait pas réalisée, faute d’astuce. Selon lui, le SPAS, respectivement le CSR, n’aurait pas procédé aux mesures de vérifications que l’on pouvait raisonnablement attendre de cette administration. A ce titre, l’appelant invoque qu’il n’a pas réagi lorsque les services sociaux ne lui ont plus versé de prestations correspondant à l’entier du montant de son loyer, soit 3'000 francs. Son absence de réaction aurait dû amener la dupe à se rendre compte que R.________ et sa famille avaient d’autres sources de revenus.</w:t>
      </w:r>
    </w:p>
    <w:p>
      <w:r>
        <w:rPr>
          <w:b/>
        </w:rPr>
        <w:t>E. 4.2</w:t>
      </w:r>
    </w:p>
    <w:p>
      <w:r>
        <w:t>Aux termes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(al. 1). L'escroquerie suppose en particulier que l'auteur ait usé de tromperie à l’égard de la dupe et que celle-ci ait été astucieuse (ATF 128 IV 18 consid. 3a ; ATF 122 II 422 consid. 3a ; ATF 122 IV 246 consid. 3a et les arrêts cités).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128 IV 18 consid. 3a ; TF 6B_255/2012 du 28 février 2013 consid. 3). Une co-responsabilité de la dupe n’exclut toutefois l’astuce que dans des cas exceptionnels (ATF 135 IV 76 consid. 5.2 ; TF 6B_314/2011 du 27 octobre 2011 consid. 3.2.1 et les références citées). Le principe de coresponsabilité doit amener les victimes potentielles à faire preuve d'un minimum de prudence, mais ne saurait être utilisé pour nier trop aisément le caractère astucieux de la tromperie (ATF 128 IV 18 consid. 3a). Les principes relatifs à l’astuce sont aussi applicables en matière d’assurances sociales. Selon la jurisprudence,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(TF 6B_22/2011 du 23 mai 2011 et les références citées). Est notamment constitutif d’escroquerie, l’obtention de prestations de l’aide sociale sur la base d’indications inexactes ou incomplètes dont la vérification par l’office est difficile, telles que l’omission de présenter les relevés de comptes dont l’existence est ignorée par l’office ou le fait de cacher les revenus accessoires d’un nouveau travail (ATF 127 IV 163, TF 6B_689/2010 du 25 octobre 2010, TF 6B_558/2009 du 26 octobre 2009, consid. 1.2) Du point de vue subjectif, l’auteur doit avoir agi intentionnellement et dans un dessein d’enrichissement illégitime, un résultat correspondant n’étant cependant pas une condition de l’infraction (ATF 134 IV 210 consid. 5.3 ; ATF 119 IV 210 consid. 4b). Le dol éventuel suffit.</w:t>
      </w:r>
    </w:p>
    <w:p>
      <w:r>
        <w:rPr>
          <w:b/>
        </w:rPr>
        <w:t>E. 4.3</w:t>
      </w:r>
    </w:p>
    <w:p>
      <w:r>
        <w:t>En l’espèce, les premiers juges ont estimé qu’à l’examen des extraits de compte falsifiés et produits au CSR, ceux-ci n’étaient pas des faux grossiers. Ils avaient l’apparence de vrais relevés et leur falsification n’était pas aisément décelable, quand bien même celle-ci avait été facile à réaliser. Dès lors, en l’absence d’indices concrets de fraude, les services sociaux n’avaient pas de raisons particulières de procéder à des vérifications approfondies. Et, en effet, lorsque le CSR a eu des doutes, il a ouvert une enquête et c’est finalement uniquement grâce à celle-ci que les pratiques frauduleuses de l’intéressé ont été mises en lumière. Les premiers juges ont donc conclu que les services sociaux n’avaient pas fait preuve de légèreté de sorte qu’une coresponsabilité ne pouvait leur être reprochée. Cette analyse ne prête pas le flanc à la critique. En effet, on ne pouvait attendre du CSR, au vu du nombre de dossiers qui l’occupe, qu’il vérifie chaque extrait de compte auprès de la banque émettrice et compare les relevés produits. Le fait que le CSR n’ait pas réagi au silence de l’appelant lorsque l’intégralité de son loyer n’a pas été prise en charge par les services sociaux n’est pas de nature à modifier cette appréciation. On peut à cet égard préciser qu’un loyer de 3'000 fr. est excessif eu égard des standards de l’aide sociale, si bien qu’il était compréhensible que l’appelant ne réagisse pas à cette décision. L’allégation de l’appelant qui soutient encore que s’il n’avait pas falsifiés ses extraits de compte bancaires, les services sociaux lui auraient versé des prestations plus élevées, de sorte qu’il y a lieu de prendre en compte le montant qu’il aurait reçu en supplément, qui ferait par conséquent diminuer le dommage, tombe à faux. A cet égard, on peut relever que les décisions administratives de restitution des 16 mai 2008 et 31 mars 2010 n’ont pas été contestées et que partant l’appelant a admis ces montants et donc le dommage qui en découle. Par conséquent, l’analyse des premiers juges est adéquate et doit être confirmée dès lors qu’il y a lieu de retenir que les agissements de R.________ ont effectivement consisté en une tromperie astucieuse au sens de l’art. 146 al. 1 CP. S’agissant des autres conditions de réalisation de l’infraction d’escroquerie, elles sont réalisées, la tromperie ayant conduit le CSR à allouer des prestations indues, ce qui prouve le dommage. Mal fondé, ce grief doit par conséquent être rejeté.</w:t>
      </w:r>
    </w:p>
    <w:p>
      <w:r>
        <w:rPr>
          <w:b/>
        </w:rPr>
        <w:t>E. 5.1</w:t>
      </w:r>
    </w:p>
    <w:p>
      <w:r>
        <w:t>L’appelant conteste s’être rendu coupable de violation d’une obligation d’entretien.</w:t>
      </w:r>
    </w:p>
    <w:p>
      <w:r>
        <w:rPr>
          <w:b/>
        </w:rPr>
        <w:t>E. 5.2</w:t>
      </w:r>
    </w:p>
    <w:p>
      <w:r>
        <w:t>L’art. 217 al. 1 CP punit, sur plainte, celui qui n’aura pas fourni les aliments ou les subsides qu’il doit en vertu du droit de la famille, quoi 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 en revanche, on ne peut reprocher à l’auteur d’avoir violé son obligation d’entretien que s’il avait les moyens de la remplir ou aurait pu les avoir (Corboz, Les infractions en droit suisse, 3 e éd., Berne 2010, nn. 14 et 20 ad art. 217 CP). Par-là, on entend celui qui, d’une part, ne dispose certes pas de moyens suffisants pour s’acquitter de son obligation, mais qui, d’autre part, ne saisit pas les occasions de gain qui lui sont offertes et qu’il pourrait accepter (ATF 126 IV 131 consid. 3a, JdT 2001 IV 55 ; TF 6B_1057/2009 du 17 juin 2010 consid. 1.2). La capacité économique du débiteur de verser la contribution d’entretien se détermine par analogie avec le droit des poursuites relatif au minimum vital (art. 93 LP [loi fédérale sur la poursuite pour dettes et la faillite du 11 avril 1889 ; RS 281.1] ; ATF 121 IV 272 consid. 3c). Du point de vue subjectif, l’infraction est intentionnelle ; le dol éventuel suffit (ATF 76 IV 109 consid. 5 ; TF 6B_514/2011 du 26 octobre 2011 consid. 1.3.1).</w:t>
      </w:r>
    </w:p>
    <w:p>
      <w:r>
        <w:rPr>
          <w:b/>
        </w:rPr>
        <w:t>E. 5.3</w:t>
      </w:r>
    </w:p>
    <w:p>
      <w:r>
        <w:t>En l’espèce, à l’instar des premiers juges, il convient certes de retenir que les moyens financiers de l’appelant étaient limités. Mais, l’appelant n’a jamais cherché une activité salariée, du moins une qui soit correctement rémunérée. Or, l’appelant dispose d’une formation avancée, qui, au vu de la conjoncture devait lui permettre de disposer d’un revenu circonstancié. En effet, l’appelant se cantonne à un travail d’homme à tout faire à un taux d’activité de 40%, pour un revenu qui lui permet de subvenir à ses propres besoins uniquement, situation dans laquelle il semble se complaire. Il n’a jamais entrepris de recherches sérieuses d’emploi, tout comme il n’a jamais cherché à modifier la décision de mesures protectrices de l’union conjugale, puis le jugement de divorce le contraignant à verser les montants litigieux pour ses enfants. En définitive, il est évident qu’il n’a pas fait tout ce qui était en son pouvoir afin de subvenir à l’entretien de sa famille.</w:t>
      </w:r>
    </w:p>
    <w:p>
      <w:r>
        <w:rPr>
          <w:b/>
        </w:rPr>
        <w:t>E. 6.1</w:t>
      </w:r>
    </w:p>
    <w:p>
      <w:r>
        <w:t>L’appelant conteste la peine infligée. Il soutient qu’il aurait dû bénéficier d’une peine compatible avec l’octroi d’un sursis total.</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w:t>
      </w:r>
    </w:p>
    <w:p>
      <w:r>
        <w:rPr>
          <w:b/>
        </w:rPr>
        <w:t>E. 6.3</w:t>
      </w:r>
    </w:p>
    <w:p>
      <w:r>
        <w:t>Au moment de fixer la peine, les premiers juges ont relevé que le comportement de l’appelant était grave et inadmissible dans la mesure où il avait perduré sur une longue période. En outre, il n’a pas eu de scrupules à mêler son propre beau-fils à ses tromperies, en utilisant son nom pour contracter un contrat, qui, à terme, pouvait engendrer de sérieuses difficultés pour ce jeune adulte. L’appelant a admis, mais fortement minimisé ses actes en considérant l’aide sociale comme un acquis. Il s’est joué du système et lorsque ses supercheries ont été mises à jour, il a finalement tenté de diminuer sa responsabilité en allant presque jusqu’à soutenir que les services sociaux seraient à l’origine de la procédure. Tous ces éléments sont pertinents. En premier lieu, c’est à juste titre que le tribunal de première instance a retenu que le prévenu ne semblait pas avoir pris conscience de la gravité de ses actes. Il ressort du dossier que R.________ a agi dans l’unique but de profiter au maximum des prestations sociales, estimant que cet argent lui était dû mais, qu’en revanche, il n’avait pas à leur rendre de comptes. Selon lui, il aurait caché ces montants pour « protéger sa sphère privée des méthodes intrusives des Services sociaux ». Il en est de même s’agissant de la violation de l’obligation d’entretien, l’appelant ne faisant aucun effort pour tenter de subvenir aux besoins de sa famille, se contentant de dire qu’il n’aurait pas les moyens financiers de s’acquitter de ses obligations sans faire le moindre effort afin de trouver un travail rémunéré de façon correcte. Cette argumentation ne peut trouver grâce aux yeux de la Cour de céans, tant elle est éloignée de la réalité du dossier. Comme les juges de première instance, on retiendra à la décharge de l’appelant l’ancienneté des faits et le fait qu’il a collaboré à l’enquête. Au vu de ce qui précède, une peine privative de liberté de 27 mois est adéquate et le moyen doit être rejeté.</w:t>
      </w:r>
    </w:p>
    <w:p>
      <w:r>
        <w:rPr>
          <w:b/>
        </w:rPr>
        <w:t>E. 6.4</w:t>
      </w:r>
    </w:p>
    <w:p>
      <w:r>
        <w:t>Seule la question relative au sursis partiel doit être examinée.</w:t>
      </w:r>
    </w:p>
    <w:p>
      <w:r>
        <w:rPr>
          <w:b/>
        </w:rPr>
        <w:t>E. 6.5</w:t>
      </w:r>
    </w:p>
    <w:p>
      <w:r>
        <w:t>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 en cas de sursis partiel à l’exécution d’une peine privative de liberté, la partie suspendue, de même que la partie à exécuter, doivent être de six mois au moins ; les règles d’octroi de la libération conditionnelle ne lui sont pas applicables (al. 3). Pour qu'un sursis partiel soit prononcé,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les références citées ; CAPE 7 mars 2014/20 consid. 4.1). De jurisprudence constante, les conditions subjectives auxquelles l'art. 42 CP soumet l'octroi du sursis intégral s'appliquent également à l'octroi du sursis partiel prévu à l'art. 43 CP (ATF 134 IV 1 consid. 5.3.1 ; cf. aussi TF 66_664/2007 du 18 janvier 2008 consid. 3.2.1 ; TF 66_353/2008 du 30 mai 2008 consid.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 prendre en considération non seulement les circonstances concrètes de l’infracti on, mais encore les circonstances personnelles jusqu’au moment du jugement (ATF 135 IV 180). Le sursis est désormais la règle dont on ne peut s'écarter qu'en présence d'un pronostic défavorable. Il prime en cas d'incertitude (TF 6B_492/2008 du 19 mai 2009 consid. 3.1.2 ; ATF 134 IV 1 consid. 4.2.2).</w:t>
      </w:r>
    </w:p>
    <w:p>
      <w:r>
        <w:rPr>
          <w:b/>
        </w:rPr>
        <w:t>E. 6.6</w:t>
      </w:r>
    </w:p>
    <w:p>
      <w:r>
        <w:t>En l’espèce, au vu de l’absence totale de prise de conscience de la gravité des faits, de la durée des activités délictuelles de l’appelant, ainsi que le fait qu’il ait réitéré son comportement alors même qu’il était sous le coup d’une enquête des services sociaux, sont autant d’éléments tendant à conclure que le pronostic futur le concernant est mitigé. Dans ces conditions, c’est à juste titre que les premiers juges ont prononcé un sursis partiel et fixé la part de la peine ferme à exécuter au minimum légal, soit 6 mois ; l’exécution d’une partie de la peine étant seule susceptible d’obtenir l’amendement du prévenu. Vu la peine prononcée, l’appelant pourra effectuer sa peine privative de liberté sous forme de semi-détention (art. 77b CP). Cette peine ne nuira pas à son insertion sociale et professionnelle.</w:t>
      </w:r>
    </w:p>
    <w:p>
      <w:r>
        <w:rPr>
          <w:b/>
        </w:rPr>
        <w:t>E. 7</w:t>
      </w:r>
    </w:p>
    <w:p>
      <w:r>
        <w:t>En définitive, l’appel de R.________ doit être rejeté et le jugement attaqué intégralement confirmé. Vu l'issue de la cause, les frais d'appel, par 4’737 fr. 20, doivent être mis à la charge de l’appelant, qui succombe (art. 428 CPP). Outre l'émolument, qui se monte à 1’940 fr. (art. 21 al. 1 et 2 TFIP [Tarif des frais de procédure et indemnités en matière pénale du 28 septembre 2010; RSV 312.03.1]), ces frais comprennent l’indemnité allouée au défenseur d’office de R.________. Sur la base de la liste des opérations produite (cf. P. 50), une indemnité de défenseur d'office pour la procédure d'appel d'un montant de 2'797 fr. 20 , TVA et débours inclus, est allouée à Me Thierry de Mestral (2'430 fr. [13 heures 30 minutes x 180 fr.] + 120 fr. [une vacation] + 40 fr. [débours] + 207 fr. 20. [TVA]). R.________ ne sera tenu de rembourser à l’Etat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