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 vom 3. Juli 2015</w:t>
      </w:r>
    </w:p>
    <w:p>
      <w:r>
        <w:t>VD Tribunal cantonal, 2015-07-03, FR</w:t>
      </w:r>
    </w:p>
    <w:p>
      <w:r>
        <w:rPr>
          <w:b/>
        </w:rPr>
        <w:t xml:space="preserve">Quelle: </w:t>
      </w:r>
      <w:r>
        <w:t>https://mcp.opencaselaw.ch/entscheid/vd_findinfo_Jug___2016___6</w:t>
      </w:r>
    </w:p>
    <w:p>
      <w:r>
        <w:t>FR: VD_FINDINFO Jug / 2016 / 6 du 3 juillet 2015</w:t>
      </w:r>
    </w:p>
    <w:p>
      <w:r>
        <w:t>IT: VD_FINDINFO Jug / 2016 / 6 del 3 luglio 2015</w:t>
      </w:r>
    </w:p>
    <w:p>
      <w:pPr>
        <w:pStyle w:val="Heading2"/>
      </w:pPr>
      <w:r>
        <w:t>Regeste</w:t>
      </w:r>
    </w:p>
    <w:p>
      <w:r>
        <w:t>SURSIS PARTIEL À L'EXÉCUTION DE LA PEINE, FIXATION DE LA PEINE | 43 CP, 47 CP</w:t>
      </w:r>
    </w:p>
    <w:p>
      <w:pPr>
        <w:pStyle w:val="Heading2"/>
      </w:pPr>
      <w:r>
        <w:t>Erwägungen</w:t>
      </w:r>
    </w:p>
    <w:p>
      <w:r>
        <w:rPr>
          <w:b/>
        </w:rPr>
        <w:t>E. 1</w:t>
      </w:r>
    </w:p>
    <w:p>
      <w:r>
        <w:t>Selon l’art. 399 al. 1 CPP (Code de procédure pénale suisse du</w:t>
      </w:r>
    </w:p>
    <w:p>
      <w:r>
        <w:rPr>
          <w:b/>
        </w:rPr>
        <w:t>E. 5</w:t>
      </w:r>
    </w:p>
    <w:p>
      <w:r>
        <w:t>La quotité de la peine privative de liberté prononcée étant compatible avec l’octroi d’un sursis partiel, il y a lieu d’examiner cette question.</w:t>
      </w:r>
    </w:p>
    <w:p>
      <w:r>
        <w:rPr>
          <w:b/>
        </w:rPr>
        <w:t>E. 5.1</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w:t>
      </w:r>
    </w:p>
    <w:p>
      <w:r>
        <w:rPr>
          <w:b/>
        </w:rPr>
        <w:t>E. 5.2</w:t>
      </w:r>
    </w:p>
    <w:p>
      <w:r>
        <w:t>De jurisprudence constante, les conditions subjectives auxquelles l'art. 42 CP soumet l'octroi du sursis intégral s'appliquent également à l'octroi du sursis partiel prévu à l'art. 43 CP (ATF 134 IV 1 consid. 5.3.1; cf. aussi TF 66_664/2007 du 18 janvier 2008 consid. 3.2.1; TF 66_353/2008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66_492/2008 du 19 mai 2009 consid. 3.1.2; ATF 134 IV 1 consid. 4.2.2).</w:t>
      </w:r>
    </w:p>
    <w:p>
      <w:r>
        <w:rPr>
          <w:b/>
        </w:rPr>
        <w:t>E. 5.3</w:t>
      </w:r>
    </w:p>
    <w:p>
      <w:r>
        <w:t>Au moment d’établir le pronostic, la Cour de céans retient que X.________ a certes des antécédents, mais aucun en matière d'infraction sexuelle ou de violence conjugale, excepté la présente affaire. Sa prise de conscience apparaît limitée. Toutefois, on relèvera que le prévenu semble exercer un certain contrôle sur sa consommation d’alcool, qu’il entretient une relation affective stable depuis près d’une année et qu’il est à l’aube de nouveaux défis professionnels, dès lors qu’il vient de s’engager en signant un nouveau bail pour une durée de dix ans pour son établissement le M.________. Comme l’ont relevé les experts psychiatres, malgré une tendance à la banalisation de ses actes illicites, l’intéressé bénéficie donc d'un important soutien familial et d'une situation professionnelle stable susceptibles d’influer positivement sur le risque de récidive qui a été qualifié de faible à moyen par les experts. Enfin, X.________ a déjà accompli 127 jours de détention préventive, qui ont assurément eu un effet sur lui. Tout bien considéré, l’octroi d’un sursis partiel est envisageable dans la mesure où la partie ferme de la peine, qui pourra être légèrement inférieure au maximum légal, apparaît susceptible d’exercer un effet dissuasif suffisant. Ainsi, il y a lieu de suspendre l’exécution d’une partie de la peine privative de liberté portant sur 26 mois, la partie de la peine à exécuter, soit 10 mois, apparaissant suffisante pour son amendement. La durée du délai d'épreuve de 5 ans ne prête pas le flanc à la critique et sera confirmée, de même que l’amende prononcée à titre de sanction des contraventions.</w:t>
      </w:r>
    </w:p>
    <w:p>
      <w:r>
        <w:rPr>
          <w:b/>
        </w:rPr>
        <w:t>E. 5.4</w:t>
      </w:r>
    </w:p>
    <w:p>
      <w:r>
        <w:t>La détention avant jugement sera déduite de la peine ferme à exécuter ainsi que huit jours au titre d’indemnité pour la détention subie en conditions notoirement illicites. A cet égard, on relèvera que X.________ a été détenu à l’Hôtel de police du 11 au 27 juillet 2013, et non jusqu'au 29 juillet 2013 comme retenu par erreur dans le jugement de première instance. Après déduction des 48 heures premières heures, c’est donc durant 15 jours que le prévenu a été détenu dans des conditions illicites dans les locaux de la police et non durant 17 jours. Le jugement de première instance devra être rectifié d’office sur ce point. Au vu de la réduction admise d'un jour de peine pour deux jours de détention dans des conditions illicites au-delà des premières 48 heures, la déduction de 8 jours de détention doit être confirmée.</w:t>
      </w:r>
    </w:p>
    <w:p>
      <w:r>
        <w:rPr>
          <w:b/>
        </w:rPr>
        <w:t>E. 6</w:t>
      </w:r>
    </w:p>
    <w:p>
      <w:r>
        <w:t>En définitive, l’appel du Ministère public est partiellement admis et le jugement entrepris réformé dans le sens des considérants qui précèdent.</w:t>
      </w:r>
    </w:p>
    <w:p>
      <w:r>
        <w:rPr>
          <w:b/>
        </w:rPr>
        <w:t>E. 6.1</w:t>
      </w:r>
    </w:p>
    <w:p>
      <w:r>
        <w:t>Vu l'issue de la cause, les frais d'appel, constitués du seul émolument de jugement, par 2’270 fr. (art. 21 al. 1 et 2 TFIP  [Tarif des frais de procédure et indemnités en matière pénale du 28 septembre 2010; RSV 312.03.1]), sont mis par moitié, soit par 1'135 fr., à la charge de X.________ qui a conclu au rejet de l’appel et qui succombe partiellement, le solde étant laissé à la charge de l'Etat.</w:t>
      </w:r>
    </w:p>
    <w:p>
      <w:r>
        <w:rPr>
          <w:b/>
        </w:rPr>
        <w:t>E. 6.2</w:t>
      </w:r>
    </w:p>
    <w:p>
      <w:r>
        <w:t>Requise en temps utile, une indemnité de conseil d’office pour la procédure d’appel d’un montant de 388 fr. 80, TVA et débours compris, sera allouée à Me Coralie Germond, conseil d’office de P.________, et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