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57 vom 8. Oktober 2015</w:t>
      </w:r>
    </w:p>
    <w:p>
      <w:r>
        <w:t>VD Tribunal cantonal, 2015-10-08, FR</w:t>
      </w:r>
    </w:p>
    <w:p>
      <w:r>
        <w:rPr>
          <w:b/>
        </w:rPr>
        <w:t xml:space="preserve">Quelle: </w:t>
      </w:r>
      <w:r>
        <w:t>https://mcp.opencaselaw.ch/entscheid/vd_findinfo_Jug___2016___57</w:t>
      </w:r>
    </w:p>
    <w:p>
      <w:r>
        <w:t>FR: VD_FINDINFO Jug / 2016 / 57 du 8 octobre 2015</w:t>
      </w:r>
    </w:p>
    <w:p>
      <w:r>
        <w:t>IT: VD_FINDINFO Jug / 2016 / 57 del 8 ottobre 2015</w:t>
      </w:r>
    </w:p>
    <w:p>
      <w:pPr>
        <w:pStyle w:val="Heading2"/>
      </w:pPr>
      <w:r>
        <w:t>Regeste</w:t>
      </w:r>
    </w:p>
    <w:p>
      <w:r>
        <w:t>INJURE, MENACE{DROIT PÉNAL}, PARTIE CIVILE, DÉLIT MANQUÉ | 49 CO, 177 al. 1 CP, 177 al. 2 CP, 180 CP, 22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S.________ invoque que c’est à tort que le premier juge a retenu qu’il avait traité K.________ « d’incapable » et lui avait dit qu’il allait le « démonter ». Il fait valoir qu’il n’y a pas témoignage au dossier qui confirmerait ces faits et qu’il est dès lors arbitraire de les retenir.</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3.2.2</w:t>
      </w:r>
    </w:p>
    <w:p>
      <w:r>
        <w:t>La constatation des faits est erronée au sens de l’art. 398 al. 3 let. a CPP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Il est exact qu'aucun témoin n'a été entendu pendant l'enquête et que le seul témoin qui a déposé à l'audience de jugement a déclaré : « J'ignore si des menaces ont été prononcées » (jgt., p. 4). Cependant, cela ne signifie pas que le juge devait écarter la version de K.________ pour ces motifs. Il appartenait au contraire au juge d'apprécier les déclarations divergentes des parties, ce qu'il a fait. Celui-ci a motivé son appréciation par le fait qu'il n'y avait pas lieu de mettre en doute les propos de K.________, qui a en particulier reconnu sa responsabilité dans l'altercation. La motivation du premier juge échappe donc à la critique et son appréciation des preuves doit être confirmée.</w:t>
      </w:r>
    </w:p>
    <w:p>
      <w:r>
        <w:rPr>
          <w:b/>
        </w:rPr>
        <w:t>E. 4.1</w:t>
      </w:r>
    </w:p>
    <w:p>
      <w:r>
        <w:t>S.________ fait valoir que c’est à tort que le premier juge a retenu que les termes « menteur » et « incapable » devaient être considérés comme injurieux. Il invoque notamment qu'il a traité K.________ de menteur car ce dernier l'avait engagé comme chauffeur-livreur mais ne le faisait pas travailler en cette qualité, lui donnant en particulier des tâches de nettoyage. L’appelant se prévaut aussi de l’art. 177 al. 2 CP.</w:t>
      </w:r>
    </w:p>
    <w:p>
      <w:r>
        <w:rPr>
          <w:b/>
        </w:rPr>
        <w:t>E. 4.2.1</w:t>
      </w:r>
    </w:p>
    <w:p>
      <w:r>
        <w:t>Aux termes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vol. I, 3e éd.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et les références citées).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(Corboz, op. cit., n. 26 ad art. 177 CP et les auteurs cités). Si l’auteur a émis un jugement de valeur, on admet par analogie qu’il peut apporter les preuves libératoires aux mêmes conditions qu’en cas de diffamation pour ce qui concerne les faits qui fondent son jugement (Corboz, op. cit., n. 27 ad art. 177 CP). L'art. 173 ch. 3 CP dispose que l’auteur d’une diffamation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(cf. Corboz, La diffamation, SJ 1992 p. 629s. en partic. 653).</w:t>
      </w:r>
    </w:p>
    <w:p>
      <w:r>
        <w:rPr>
          <w:b/>
        </w:rPr>
        <w:t>E. 4.2.2</w:t>
      </w:r>
    </w:p>
    <w:p>
      <w:r>
        <w:t>En l'espèce, dans le contexte élargi d'un conflit de travail, le terme « incapable » constitue une critique des capacités professionnelles ce qui ne suffit pas à porter atteinte à l'honneur. Ce terme ne saurait donc être considéré comme une injure. Il en va différemment du terme « menteur » qui fait clairement référence à une conduite méprisable et contraire à l'honneur. L'appelant estime que ce terme n'est pas injurieux du fait que son employeur lui a menti en l'engageant en tant que chauffeur-livreur alors qu'il ne lui aurait confié aucune tâche en cette qualité. Il se prévaut à cet égard du témoignage de R.________ qui relate que l'appelant lui avait confié son incompréhension quant à la nature des tâches qui lui étaient confiées par K.________ (jgt., p.4). En admettant que l'appelant soit admis à apporter la preuve de la vérité, ses motifs ne sauraient en constituer une. K.________ a expliqué qu'il avait engagé S.________ pour plusieurs missions, mais que celui-ci n'avait jamais été capable de travailler correctement et n'avait jamais donné entière satisfaction (PV aud. 2). Il semble que l'appelant n'avait de cesse de se plaindre, qu'il faisait preuve de nonchalance et que les tâches qui lui étaient attribuées étaient adaptées aux prestations qu'il était en mesure de fournir. Ainsi, il ne ressort pas du dossier que K.________ aurait menti dans la description du poste faite à S.________ et c'est donc à tort que ce dernier se prévaut de la preuve de la vérité au sens de l'art. 173 ch. 2 CPP.</w:t>
      </w:r>
    </w:p>
    <w:p>
      <w:r>
        <w:rPr>
          <w:b/>
        </w:rPr>
        <w:t>E. 4.3.1</w:t>
      </w:r>
    </w:p>
    <w:p>
      <w:r>
        <w:t>Selon l'art. 177 al. 2 CPP, le juge pourra exempter le délinquant de toute peine si l'injurié a directement provoqué l'injure par une conduite répréhensible. Cet article s'applique lorsque l'injure constitue une réaction immédiate à un comportement répréhensible qui a provoqué chez l'auteur un sentiment de révolte. C'est le cas notamment lorsque l'auteur réagit sous l'empire de l'émotion causée par le comportement blâmable de la personne insultée (Dupuis et al. [éd.], Petit commentaire, Code pénal, Bâle 2012, n. 25 ad art. 177 CP et les références citées).</w:t>
      </w:r>
    </w:p>
    <w:p>
      <w:r>
        <w:rPr>
          <w:b/>
        </w:rPr>
        <w:t>E. 4.3.2</w:t>
      </w:r>
    </w:p>
    <w:p>
      <w:r>
        <w:t>En l'espèce, l'appelant a déclaré qu'il avait traité K.________ de menteur et que c'est ensuite de cela que ce dernier lui a donné un coup de pied au mollet gauche (PV aud. 4, l. 49-50). Cette version a été confirmée par K.________ (PV aud. 4, l. 74-76). Dans ces circonstances, il ne peut donc être retenu que c'est la conduite répréhensible de K.________ qui a provoqué l'injure de S.________. Au vu de ce qui précède, l'appel de S.________ doit être rejeté sur ce point.</w:t>
      </w:r>
    </w:p>
    <w:p>
      <w:r>
        <w:rPr>
          <w:b/>
        </w:rPr>
        <w:t>E. 5.1</w:t>
      </w:r>
    </w:p>
    <w:p>
      <w:r>
        <w:t>S.________ invoque une violation de l'art. 180 CP. Il invoque que le terme « démonter » ne constitue pas une menace, qu'il n'atteint pas le seuil de gravité requis par l'art. 180 CP et que c'est de manière arbitraire que le premier juge a retenu que K.________ avait été alarmé. Il estime ainsi que seule une tentative de menace pourrait tout au plus lui être reproché.</w:t>
      </w:r>
    </w:p>
    <w:p>
      <w:r>
        <w:rPr>
          <w:b/>
        </w:rPr>
        <w:t>E. 5.2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consid. 1.1 du 10 septembre 2012).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Il est généralement admis que si la menace grave a été proférée sans succès parce que la victime n’a été ni effrayée ni alarmée, l’auteur est punissable de tentative de menace (Dupuis et al., op. cit., n. 27 ad art. 180 CP).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En particulier, la promesse de « casser la gueule a été reconnue comme consécutive de menaces par le Tribunal fédéral (ATF 99 IV 212 consid. 1a). Subjectivement, l’auteur doit avoir l’intention non seulement de proférer des menaces graves, mais aussi d’alarmer ou d’effrayer le destinataire. Le dol éventuel suffit (TF 6B_598/2011 du 27 juillet 2012 consid. 1.1).</w:t>
      </w:r>
    </w:p>
    <w:p>
      <w:r>
        <w:rPr>
          <w:b/>
        </w:rPr>
        <w:t>E. 5.3</w:t>
      </w:r>
    </w:p>
    <w:p>
      <w:r>
        <w:t>En l'espèce, le terme utilisé par S.________ doit être considéré comme une menace au sens de l'art. 180 CP. En effet, lorsque S.________ a exprimé sa volonté de « démonter » K.________, il avait clairement l'intention de lui faire comprendre qu'il allait le frapper. De plus, comme l'a retenu la jurisprudence (ATF 99 IV 212 consid.1a), la promesse de « casser la gueule », expression similaire à « démonter une personne », doit être considérée comme une menace au sens de l'art. 180 CP. En revanche, aucun élément au dossier ne permet de retenir que K.________ ait été alarmé ou effrayé par les propos de S.________. Bien plus, ensuite de la menace proférée par l'appelant, K.________ l'a suivi à l'intérieur de la boulangerie pour le frapper (PV aud. 4, l. 83-87), ce qui démontre ainsi qu'il n'était en aucun cas apeuré par ce qu'il venait d'entendre. Partant la deuxième condition posée par l'art. 180 CP n'est pas réalisée et c'est à tort que le premier juge a retenu que S.________ s'est rendu coupable de menaces. Toutefois, bien que l'appelant n'ait pas atteint le résultat nécessaire à la réalisation de l'infraction, on constatera que ce dernier a poursuivi son activité coupable jusqu'au bout. Par conséquent, il s'est donc rendu coupable de tentative de menaces sous la forme d'un délit manqué (art. 22 al. 1 ad. 180 CP). L'appel doit être admis sur ce point.</w:t>
      </w:r>
    </w:p>
    <w:p>
      <w:r>
        <w:rPr>
          <w:b/>
        </w:rPr>
        <w:t>E. 6.1</w:t>
      </w:r>
    </w:p>
    <w:p>
      <w:r>
        <w:t>S.________ reproche au premier juge de n'avoir pas aggravé l'accusation pour l'étendre aux lésions corporelles simples à l'encontre de K.________, respectivement de n'avoir pas retenu cette infraction. Il soulève notamment à cet égard, que selon le constat médical du 22 décembre 2014, il est probable que le traumatisme qu'il a subi ait pu déclencher des douleurs cervicales se prolongeant jusqu'à cette date en raison d'un contexte particulier. Il estime ainsi que c'est de manière arbitraire que le premier juge a considéré que l'ensemble des cervicalgies observées par un médecin dès le jour des événements relevaient d'altérations exclusivement antérieures aux faits litigieux et que l'on ne pouvait pas attribuer la responsabilité directe à K.________.</w:t>
      </w:r>
    </w:p>
    <w:p>
      <w:r>
        <w:rPr>
          <w:b/>
        </w:rPr>
        <w:t>E. 6.2</w:t>
      </w:r>
    </w:p>
    <w:p>
      <w:r>
        <w:t>Lors de l'audience de jugement, S.________ s'est vu refuser sa requête tendant à l'aggravation de l'accusation de K.________ (jgt., p. 5). La motivation du premier juge est claire et précise sur ce point. Se fondant sur des constats médicaux, il a estimé que les cervicalgies dont souffrait l'appelant étaient la conséquence d'altérations dégénératives antérieures à l'altercation. Cette appréciation n'est pas remise en cause par le passage du certificat médical cité par l'appelant dans son écriture. Il est clair que la cause est à rechercher dans le « contexte particulier » préexistant, mais on ne saurait affirmer, comme le fait l'appelant, que le coup porté a « manifestement » causé l'arrêt de travail ayant nécessité des traitements de physiothérapie. Par conséquent, c'est à bon droit que le premier juge a retenu que K.________ s'est rendu coupable de voies de fait et non de lésions corporelles simples. L'appel doit être rejeté sur ce point.</w:t>
      </w:r>
    </w:p>
    <w:p>
      <w:r>
        <w:rPr>
          <w:b/>
        </w:rPr>
        <w:t>E. 7.1</w:t>
      </w:r>
    </w:p>
    <w:p>
      <w:r>
        <w:t>L'appelant invoque une violation de l'art. 49 CO et réclame une indemnité pour tort moral de 2'000 francs.</w:t>
      </w:r>
    </w:p>
    <w:p>
      <w:r>
        <w:rPr>
          <w:b/>
        </w:rPr>
        <w:t>E. 7.2</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20 décembre 1907, RS 210] ; ATF 132 II 117 consid.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JdT 2006 IV 118).</w:t>
      </w:r>
    </w:p>
    <w:p>
      <w:r>
        <w:rPr>
          <w:b/>
        </w:rPr>
        <w:t>E. 7.3</w:t>
      </w:r>
    </w:p>
    <w:p>
      <w:r>
        <w:t>En l'espèce, l'atteinte à la personnalité subie par l'appelant n'est pas suffisamment grave pour justifier une telle indemnité. En outre, la responsabilité dans l'altercation de l'appelant, qui boit son café au lieu de travailler, nargue son patron en lui disant qu'il n'est pas en pause et finit par le traiter de menteur, est clairement en cause. La prétention de l'appelant peut d'ailleurs être considérée comme particulièrement abusive. Par conséquent, c'est à juste titre que le premier juge n'a pas alloué d'indemnité pour tort moral au sens de l'art. 49 CO à S.________ et s'est contenté de lui donner acte de ses prétentions civiles. L'appel est également rejeté sur ce point.</w:t>
      </w:r>
    </w:p>
    <w:p>
      <w:r>
        <w:rPr>
          <w:b/>
        </w:rPr>
        <w:t>E. 8</w:t>
      </w:r>
    </w:p>
    <w:p>
      <w:r>
        <w:t>L'appelant requiert, en sa qualité de prévenu, une indemnité de 2'000 fr., TVA et débours inclus, au sens de l'art. 429 al. 1 let. a CPP pour les dépenses occasionnées par l'exercice raisonnable de ses droits de procédure. En l'espèce, S.________ a succombé à l'action pénale et ne peut donc se prévaloir de cette disposition.</w:t>
      </w:r>
    </w:p>
    <w:p>
      <w:r>
        <w:rPr>
          <w:b/>
        </w:rPr>
        <w:t>E. 9.1</w:t>
      </w:r>
    </w:p>
    <w:p>
      <w:r>
        <w:t>S.________ requiert également, en sa qualité de partie plaignante, une indemnité fondée sur l'art. 433 CPP pour ses dépenses obligatoires occasionnées par la procédure.</w:t>
      </w:r>
    </w:p>
    <w:p>
      <w:r>
        <w:rPr>
          <w:b/>
        </w:rPr>
        <w:t>E. 9.2</w:t>
      </w:r>
    </w:p>
    <w:p>
      <w:r>
        <w:t>Selon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Selon la jurisprudence du Tribunal fédéral, la partie plaignante a obtenu gain de cause au sens de cette norme lorsque le prévenu a été condamné et/ou si les prétentions civiles ont été admises à tout le moins partiellement (TF 6B_965/2013 du 3 décembre 2013 consid. 3.1.1 ; TF 6B_159/2012 du 22 juin 2012 consid. 2.2 et les références citées).</w:t>
      </w:r>
    </w:p>
    <w:p>
      <w:r>
        <w:rPr>
          <w:b/>
        </w:rPr>
        <w:t>E. 9.3</w:t>
      </w:r>
    </w:p>
    <w:p>
      <w:r>
        <w:t>S.________ n'a pas eu gain de cause et n'a rien obtenu de ses prétentions civiles de telle sorte que les conditions légales de l'art. 433 CPP ne sont pas réalisées dans le cas d'espèce.</w:t>
      </w:r>
    </w:p>
    <w:p>
      <w:r>
        <w:rPr>
          <w:b/>
        </w:rPr>
        <w:t>E. 10</w:t>
      </w:r>
    </w:p>
    <w:p>
      <w:r>
        <w:t>Il y a lieu d’examiner la quotité de la peine en raison de l’abandon de l’infraction de menaces.</w:t>
      </w:r>
    </w:p>
    <w:p>
      <w:r>
        <w:rPr>
          <w:b/>
        </w:rPr>
        <w:t>E. 10.1.1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 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2ème phr., CP).</w:t>
      </w:r>
    </w:p>
    <w:p>
      <w:r>
        <w:rPr>
          <w:b/>
        </w:rPr>
        <w:t>E. 10.1.2</w:t>
      </w:r>
    </w:p>
    <w:p>
      <w:r>
        <w:t>En vertu de l'art. 42 al. 1 CP, le juge suspend en règle générale, l'exécution d'une peine pécuniaire, d'un travail d'intérêts général ou d'une peine privative de liberté de six mois au moins et de deux ans au plus, lorsqu'une peine ferme ne paraît pas nécessaire pour détourner l'auteur d'autres crimes. Le juge peut prononcer, en plus d'une peine assortie du sursis, une peine pécuniaire sans sursis ou une amende selon l'art. 106 CP (art. 42 al. 4 CP).</w:t>
      </w:r>
    </w:p>
    <w:p>
      <w:r>
        <w:rPr>
          <w:b/>
        </w:rPr>
        <w:t>E. 10.2</w:t>
      </w:r>
    </w:p>
    <w:p>
      <w:r>
        <w:t>En l'espèce, S.________ s'est rendu coupable de tentative de menaces. Certes, K.________ n'a pas été alarmé par la menace de l'appelant, mais le comportement de ce dernier ne doit toutefois pas être minimisé dès lors qu'il avait la volonté de l'effrayer. Afin de tenir compte de la qualification de l'infraction retenue par la Cour de céans, il se justifie de réduire la quotité de la peine infligée par le premier juge à 15 jours-amende à 40 francs. Le sursis de deux ans accordé par le premier juge ainsi que la condamnation de S.________ à une amende de 200 fr. ne prêtent pas le flanc à la critique et seront confirmés.</w:t>
      </w:r>
    </w:p>
    <w:p>
      <w:r>
        <w:rPr>
          <w:b/>
        </w:rPr>
        <w:t>E. 11</w:t>
      </w:r>
    </w:p>
    <w:p>
      <w:r>
        <w:t>En définitive, l'appel de S.________ doit très partiellement être admis et le jugement attaqué réformé dans le sens des considérants. Vue l'issue de la cause, les frais d'appel, constitués du seul émolument d'arrêt, par 2'050 fr., sont laissés par neuf dixièmes à la charge de S.________, soit par 1'845 fr., le solde étant laissé à la charge de l'Etat (art. 21 al. 1 et 2 TFIP [Tarif des frais de procédure et indemnités en matière pénale du 28 septembre 2010; RSV 312.03.1]). Au vu du sort de la cause et du fait que l'appelant n'a obtenu que très partiellement gain de cause, il ne se justifie pas de lui octroyer une indemnité au sens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