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55 vom 5. Oktober 2015</w:t>
      </w:r>
    </w:p>
    <w:p>
      <w:r>
        <w:t>VD Tribunal cantonal, 2015-10-05, FR</w:t>
      </w:r>
    </w:p>
    <w:p>
      <w:r>
        <w:rPr>
          <w:b/>
        </w:rPr>
        <w:t xml:space="preserve">Quelle: </w:t>
      </w:r>
      <w:r>
        <w:t>https://mcp.opencaselaw.ch/entscheid/vd_findinfo_Jug___2016___55</w:t>
      </w:r>
    </w:p>
    <w:p>
      <w:r>
        <w:t>FR: VD_FINDINFO Jug / 2016 / 55 du 5 octobre 2015</w:t>
      </w:r>
    </w:p>
    <w:p>
      <w:r>
        <w:t>IT: VD_FINDINFO Jug / 2016 / 55 del 5 ottobre 2015</w:t>
      </w:r>
    </w:p>
    <w:p>
      <w:pPr>
        <w:pStyle w:val="Heading2"/>
      </w:pPr>
      <w:r>
        <w:t>Regeste</w:t>
      </w:r>
    </w:p>
    <w:p>
      <w:r>
        <w:t>VIOLATION D'UNE OBLIGATION D'ENTRETIEN, PEINE | 217 CP</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le jugement d’un tribunal de première instance qui a clos la procédure (art. 398 al. 1 CPP), l’appel de N.________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CPP ; TF 6B_78/2012 du 27 août 2012 consid. 3.1).</w:t>
      </w:r>
    </w:p>
    <w:p>
      <w:r>
        <w:rPr>
          <w:b/>
        </w:rPr>
        <w:t>E. 3.1</w:t>
      </w:r>
    </w:p>
    <w:p>
      <w:r>
        <w:t>L’appelant ne conteste pas que les éléments constitutifs et l’élément subjectif de l’infraction de violation d’obligation d’entretien, réprimée par l’art. 217 CP (Code pénal suisse du 21 décembre 1937 ; RS 311.0), sont réalisés. Il s’en prend au genre de la peine, au mode d’exécution de celle-ci, et plus particulièrement au refus du sursis.</w:t>
      </w:r>
    </w:p>
    <w:p>
      <w:r>
        <w:rPr>
          <w:b/>
        </w:rPr>
        <w:t>E. 3.1.1</w:t>
      </w:r>
    </w:p>
    <w:p>
      <w:r>
        <w:t>La violation d’une obligation d’entretien constitue un délit continu (Dupuis et al., Petit commentaire du Code pénal, Bâle 2012, n. 33 ad art. 217 CP).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(TF 6B_1226/2013 du 31 mars 2014 consid. 1.1; ATF 135 IV 6 consid. 3.2 p. 9).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135 IV 6 consid. 4.2 p. 11).</w:t>
      </w:r>
    </w:p>
    <w:p>
      <w:r>
        <w:rPr>
          <w:b/>
        </w:rPr>
        <w:t>E. 3.1.2</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6B_546/2013 du 23 août 2013 consid. 1.1).</w:t>
      </w:r>
    </w:p>
    <w:p>
      <w:r>
        <w:rPr>
          <w:b/>
        </w:rPr>
        <w:t>E. 3.1.3</w:t>
      </w:r>
    </w:p>
    <w:p>
      <w:r>
        <w:t>En application de l’art. 37 al. 1 CP, à la place d’une peine privative de liberté de moins de six mois ou d’une peine pécuniaire de 180 jours-amende au plus, le juge peut ordonner, avec l’accord de l’auteur, un travail d’intérêt général de 720 heures au plus.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consid.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(ibidem, consid. 6.3.2).</w:t>
      </w:r>
    </w:p>
    <w:p>
      <w:r>
        <w:rPr>
          <w:b/>
        </w:rPr>
        <w:t>E. 3.1.4</w:t>
      </w:r>
    </w:p>
    <w:p>
      <w:r>
        <w:t>S’agissant de la peine pécuniaire selon l’art. 34 CP, elle peut être exclue pour des motifs de prévention spéciale (TF 6B_196/2012 du 24 janvier 2013 consid. 3.3 ; TF 6B_128/2011 du 14 juin 2011 consid. 3.4) ou si elle n'est pas exécutable parce qu'elle prive le prévenu du nécessaire, voire de l'indispensable (ATF 134 IV 97 c. 5.2.3). La seule absence de revenus de l’auteur ne permet toutefois pas d’exclure ce genre de sanction ; bien plutôt, l’impécuniosité de l’auteur ne doit avoir d’effet que sur le montant du jour-amende, dont la jurisprudence fixe le minimum à dix francs (ATF 135 IV 180 consid. 1.4.2 ; ATF 134 IV 60 consid. 6.5.2).</w:t>
      </w:r>
    </w:p>
    <w:p>
      <w:r>
        <w:rPr>
          <w:b/>
        </w:rPr>
        <w:t>E. 3.2</w:t>
      </w:r>
    </w:p>
    <w:p>
      <w:r>
        <w:t>En l'espèce, l’intéressé est âgé de 75 ans et est atteint de rhumatismes; il n’a en outre pas consenti à exécuter sa peine sous forme de travail d’intérêt général. Impraticable, ce genre de peine est ainsi exclu. Avec le premier juge, la Cour constate que les deux précédentes peines pécuniaires avec sursis, puis ferme, n’ont eu aucun effet dissuasif. En l’occurrence, la prévention spéciale impose le prononcé d’une courte peine privative de liberté. En l’occurrence, N.________ a déjà été condamné à deux reprises pour violation d’une obligation d’entretien. Partant, il est indéniablement en état de récidive spéciale, contrairement à ce qu’il soutient. Le sursis est en outre objectivement exclu, puisque N.________, récidiviste spécial, a été condamné dans les cinq ans qui précèdent à une peine ferme de 180 jours-amende (cf. consid.  3.1.4 supra) et que le pronostic qu’il suscite n’est pas particulièrement favorable, son obstination persistante et bornée à enfreindre la loi excluant tout pronostic favorable de manière générale, sans que le terme de son devoir d’entretien n’y change rien. Compte tenu de tous ces éléments, la peine privative de liberté ferme de 60 jours, est adéquate et correspond aux principes légaux ainsi qu’à la culpabilité du prévenu, récidiviste. Elle doit être confirmée. L’appelant âgé de 75 ans pourra, si sa santé l’exige, bénéficier d'un régime dérogatoire, par exemple en séjournant dans un établissement approprié et non dans un établissement d'exécution des peines (art. 80 CP).</w:t>
      </w:r>
    </w:p>
    <w:p>
      <w:r>
        <w:rPr>
          <w:b/>
        </w:rPr>
        <w:t>E. 4</w:t>
      </w:r>
    </w:p>
    <w:p>
      <w:r>
        <w:t>En définitive, l’appel de N.________ doit être rejeté et le jugement attaqué confirmé.</w:t>
      </w:r>
    </w:p>
    <w:p>
      <w:r>
        <w:rPr>
          <w:b/>
        </w:rPr>
        <w:t>E. 5</w:t>
      </w:r>
    </w:p>
    <w:p>
      <w:r>
        <w:t>Vu l’issue de la cause, les frais d’appel, constitués de l’émolument d’arrêt, par 1'100 fr., ainsi que de l’indemnité allouée au défenseur d’office de l’appelant, par 972 fr. , TVA et débours inclus, sont mis à la charge de l’appelant, qui succombe. N.________ ne sera tenu de rembourser à l’Etat le montant de l’indemnité d'office précitée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