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Jug / 2016 / 45 vom 3. Februar 2016</w:t>
      </w:r>
    </w:p>
    <w:p>
      <w:r>
        <w:t>VD Tribunal cantonal, 2016-02-03, FR</w:t>
      </w:r>
    </w:p>
    <w:p>
      <w:r>
        <w:rPr>
          <w:b/>
        </w:rPr>
        <w:t xml:space="preserve">Quelle: </w:t>
      </w:r>
      <w:r>
        <w:t>https://mcp.opencaselaw.ch/entscheid/vd_findinfo_Jug___2016___45</w:t>
      </w:r>
    </w:p>
    <w:p>
      <w:r>
        <w:t>FR: VD_FINDINFO Jug / 2016 / 45 du 3 février 2016</w:t>
      </w:r>
    </w:p>
    <w:p>
      <w:r>
        <w:t>IT: VD_FINDINFO Jug / 2016 / 45 del 3 febbraio 2016</w:t>
      </w:r>
    </w:p>
    <w:p>
      <w:pPr>
        <w:pStyle w:val="Heading2"/>
      </w:pPr>
      <w:r>
        <w:t>Regeste</w:t>
      </w:r>
    </w:p>
    <w:p>
      <w:r>
        <w:t>JUGEMENT DE DIVORCE, PRÉVOYANCE PROFESSIONNELLE, INDEMNITÉ ÉQUITABLE, COMPTE DE LIBRE PASSAGE | 122 CC, 123 CC, 22 al. 2 LFLP, 111 al. 2 LPA-VD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En définitive, le montant de la prestation de libre passage de V.________ auprès de la Fondation G.________ doit être partagé par moitié, de sorte que cette institution devra transférer un montant de 607’785 fr. en faveur de Z.________, auprès d’une institution de libre passage à désigner par cette dernière. De même, la Fondation M.________ devra transférer un montant de 94'265 fr. en faveur de Z.________, auprès d’une institution de libre passage à désigner par cette dernière. A défaut de désignation de l’institution de libre passage en temps utile par la bénéficiaire, les montants mentionnés seront transférés, en sa faveur, à la Fondation institution supplétive LPP.</w:t>
      </w:r>
    </w:p>
    <w:p>
      <w:r>
        <w:rPr>
          <w:b/>
        </w:rPr>
        <w:t>E. 4</w:t>
      </w:r>
    </w:p>
    <w:p>
      <w:r>
        <w:t>Le taux d’intérêt rémunératoire et compensatoire applicable à la prestation de sortie à transférer à la suite d’un divorce doit, s’agissant de l’avoir de prévoyance obligatoire, correspondre au taux minimal fixé à l’art. 12 OPP 2 (ordonnance du 18 avril 1984 sur la prévoyance professionnelle, vieillesse, survivants et invalidité ; RS 831.441.1). En revanche, l’institution de prévoyance peut fixer librement le taux d’intérêt applicable à l’avoir de prévoyance plus étendue, celui-ci pouvant être inférieur au taux minimal, voire nul (ATF 129 V 251 consid. 4.1). En l’espèce, selon les renseignements communiqués par la Fondation G.________ (lettres des 13 et 22 mai 2015 à la Cour des assurances sociales), cette institution versait en 2015 un intérêt de 3,4 % pour la prévoyance sur-obligatoire et un intérêt de 2,65 % pour la prévoyance obligatoire. Les avoirs de V.________ auprès de cette institution étaient par ailleurs répartis, au 14 avril 2015, à raison de 934'333 fr. 40 pour la prévoyance sur-obligatoire, et de 281'236 fr. 55 pour la prévoyance obligatoire. Il s’ensuit qu’en plus du montant de 607'785 fr. à transférer en faveur d’Z.________ (consid. 3 ci-avant), la Fondation G.________ prélèvera sur l’avoir de prévoyance de V.________ un intérêt de 3.4 % l’an, calculé sur un capital de 467'167 fr. 80 (934’333 fr. 40 /2), pour la période courant dès le 14 avril 2015, et de 2.65 % sur un montant de 140'618 fr. 30 (281'236 fr. 55 /2) ; elle transférera les montants correspondant en faveur d’Z.________ à l’institution de libre passage qu’elle désignera ou, à défaut, à la Fondation institution supplétive LPP. Par ailleurs, selon les renseignements communiqués par la Fondation M.________ les 13 et 22 mai 2015, cette institution versait en 2015 un intérêt de 1,5 % pour la prévoyance sur-obligatoire et un intérêt de 1,75 % pour la prévoyance obligatoire. On admettra que l’avoir de vieillesse de V.________ auprès de cette institution était entièrement sur-obligatoire, de sorte que la Fondation M.________ prélèvera sur l’avoir de prévoyance de V.________ un intérêt de 1,5 % l’an, dès le 14 avril 2015, calculé sur un capital de 94'265 francs.</w:t>
      </w:r>
    </w:p>
    <w:p>
      <w:r>
        <w:rPr>
          <w:b/>
        </w:rPr>
        <w:t>E. 5</w:t>
      </w:r>
    </w:p>
    <w:p>
      <w:r>
        <w:t>Le présent jugement est rendu sans frais et ne donne pas lieu à l’octroi de dépens (art. 73 al. 2 LPP).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